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45" w:rsidRDefault="005D71B9">
      <w:pPr>
        <w:pStyle w:val="Heading1"/>
      </w:pPr>
      <w:r>
        <w:rPr>
          <w:color w:val="1A2744"/>
        </w:rPr>
        <w:t>ZUBAIR</w:t>
      </w:r>
      <w:r w:rsidR="00E417BC">
        <w:rPr>
          <w:color w:val="1A2744"/>
        </w:rPr>
        <w:t xml:space="preserve">     </w:t>
      </w:r>
    </w:p>
    <w:p w:rsidR="00E66E45" w:rsidRDefault="005D71B9">
      <w:pPr>
        <w:spacing w:before="49"/>
        <w:ind w:left="362" w:right="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color w:val="395A9A"/>
          <w:sz w:val="19"/>
        </w:rPr>
        <w:t>Director-LevelTechnologyLeader·PlatformEngineering·DevSecOps&amp;SRE·Cloud</w:t>
      </w:r>
      <w:r>
        <w:rPr>
          <w:rFonts w:ascii="Arial" w:hAnsi="Arial"/>
          <w:i/>
          <w:color w:val="395A9A"/>
          <w:spacing w:val="-2"/>
          <w:sz w:val="19"/>
        </w:rPr>
        <w:t>Transformation</w:t>
      </w:r>
    </w:p>
    <w:p w:rsidR="00E66E45" w:rsidRDefault="00E66E45">
      <w:pPr>
        <w:pStyle w:val="BodyText"/>
        <w:rPr>
          <w:sz w:val="24"/>
        </w:rPr>
      </w:pPr>
    </w:p>
    <w:p w:rsidR="00E66E45" w:rsidRDefault="00E66E45">
      <w:pPr>
        <w:pStyle w:val="BodyText"/>
        <w:rPr>
          <w:sz w:val="24"/>
        </w:rPr>
      </w:pPr>
    </w:p>
    <w:p w:rsidR="00E66E45" w:rsidRDefault="00E66E45">
      <w:pPr>
        <w:pStyle w:val="BodyText"/>
        <w:spacing w:before="1"/>
        <w:rPr>
          <w:sz w:val="24"/>
        </w:rPr>
      </w:pPr>
    </w:p>
    <w:p w:rsidR="00E66E45" w:rsidRDefault="00772E52">
      <w:pPr>
        <w:pStyle w:val="Heading2"/>
        <w:tabs>
          <w:tab w:val="left" w:pos="2587"/>
        </w:tabs>
      </w:pPr>
      <w:r>
        <w:pict>
          <v:rect id="docshape2" o:spid="_x0000_s1032" style="position:absolute;left:0;text-align:left;margin-left:52.55pt;margin-top:17.6pt;width:506.9pt;height:.95pt;z-index:15729152;mso-position-horizontal-relative:page" fillcolor="#2d4979" stroked="f">
            <w10:wrap anchorx="page"/>
          </v:rect>
        </w:pict>
      </w:r>
      <w:r w:rsidR="005D71B9">
        <w:rPr>
          <w:color w:val="1F396D"/>
          <w:spacing w:val="13"/>
        </w:rPr>
        <w:t>EXE</w:t>
      </w:r>
      <w:r w:rsidR="005D71B9">
        <w:rPr>
          <w:color w:val="1F396D"/>
        </w:rPr>
        <w:t xml:space="preserve"> CUTI</w:t>
      </w:r>
      <w:r w:rsidR="005D71B9">
        <w:rPr>
          <w:color w:val="1F396D"/>
          <w:spacing w:val="13"/>
        </w:rPr>
        <w:t xml:space="preserve"> V</w:t>
      </w:r>
      <w:r w:rsidR="005D71B9">
        <w:rPr>
          <w:color w:val="1F396D"/>
          <w:spacing w:val="-10"/>
        </w:rPr>
        <w:t>E</w:t>
      </w:r>
      <w:r w:rsidR="005D71B9">
        <w:rPr>
          <w:color w:val="1F396D"/>
        </w:rPr>
        <w:tab/>
      </w:r>
      <w:r w:rsidR="005D71B9">
        <w:rPr>
          <w:color w:val="1F396D"/>
          <w:spacing w:val="13"/>
        </w:rPr>
        <w:t>P</w:t>
      </w:r>
      <w:r w:rsidR="005D71B9">
        <w:rPr>
          <w:color w:val="1F396D"/>
        </w:rPr>
        <w:t xml:space="preserve"> ROFIL</w:t>
      </w:r>
      <w:r w:rsidR="005D71B9">
        <w:rPr>
          <w:color w:val="1F396D"/>
          <w:spacing w:val="-10"/>
        </w:rPr>
        <w:t>E</w:t>
      </w:r>
    </w:p>
    <w:p w:rsidR="00E66E45" w:rsidRDefault="00E66E45">
      <w:pPr>
        <w:pStyle w:val="BodyText"/>
        <w:rPr>
          <w:rFonts w:ascii="Arial"/>
          <w:b/>
        </w:rPr>
      </w:pPr>
    </w:p>
    <w:p w:rsidR="00E66E45" w:rsidRDefault="00E66E45">
      <w:pPr>
        <w:pStyle w:val="BodyText"/>
        <w:spacing w:before="20"/>
        <w:rPr>
          <w:rFonts w:ascii="Arial"/>
          <w:b/>
        </w:rPr>
      </w:pPr>
    </w:p>
    <w:p w:rsidR="00E66E45" w:rsidRDefault="005D71B9">
      <w:pPr>
        <w:pStyle w:val="BodyText"/>
        <w:ind w:left="360"/>
      </w:pPr>
      <w:r>
        <w:rPr>
          <w:color w:val="1C1C1C"/>
        </w:rPr>
        <w:t xml:space="preserve">Technology execution leader with 13+ years of progressive experience in platform engineering, </w:t>
      </w:r>
      <w:proofErr w:type="spellStart"/>
      <w:r>
        <w:rPr>
          <w:color w:val="1C1C1C"/>
        </w:rPr>
        <w:t>DevSecOps</w:t>
      </w:r>
      <w:proofErr w:type="spellEnd"/>
      <w:r>
        <w:rPr>
          <w:color w:val="1C1C1C"/>
        </w:rPr>
        <w:t>, Site Reliability Engineering, cloud transformation, and enterprise modernization across regulated financial services environments(PwC,WellsFargo,JPMC).Currentlyresponsiblefor11engineersacross4platformssupporting14 applications, with full accountability for a $3M–$4M technology budget portfolio.</w:t>
      </w:r>
    </w:p>
    <w:p w:rsidR="00E66E45" w:rsidRDefault="005D71B9">
      <w:pPr>
        <w:pStyle w:val="BodyText"/>
        <w:spacing w:before="60"/>
        <w:ind w:left="360"/>
      </w:pPr>
      <w:r>
        <w:rPr>
          <w:color w:val="1C1C1C"/>
        </w:rPr>
        <w:t xml:space="preserve">Proven record acting as the primary execution partner to senior technology leadership — translating strategy into measurable outcomes across engineering, infrastructure, cloud, and operations. Adept at driving simplification, standardization,anddeliveryvelocitywhilemaintainingenterprise-gradereliability,security,andcompliance.Combines deep technical grounding in </w:t>
      </w:r>
      <w:proofErr w:type="spellStart"/>
      <w:r>
        <w:rPr>
          <w:color w:val="1C1C1C"/>
        </w:rPr>
        <w:t>DevOps</w:t>
      </w:r>
      <w:proofErr w:type="spellEnd"/>
      <w:r>
        <w:rPr>
          <w:color w:val="1C1C1C"/>
        </w:rPr>
        <w:t xml:space="preserve">, SRE, cloud architecture, CI/CD, Kafka, and </w:t>
      </w:r>
      <w:proofErr w:type="spellStart"/>
      <w:r>
        <w:rPr>
          <w:color w:val="1C1C1C"/>
        </w:rPr>
        <w:t>GenAI</w:t>
      </w:r>
      <w:proofErr w:type="spellEnd"/>
      <w:r>
        <w:rPr>
          <w:color w:val="1C1C1C"/>
        </w:rPr>
        <w:t xml:space="preserve"> with a pragmatic leadership style built for scale, transformation, and cross-functional execution.</w:t>
      </w:r>
    </w:p>
    <w:p w:rsidR="00E66E45" w:rsidRDefault="00E66E45">
      <w:pPr>
        <w:pStyle w:val="BodyText"/>
      </w:pPr>
    </w:p>
    <w:p w:rsidR="00E66E45" w:rsidRDefault="00E66E45">
      <w:pPr>
        <w:pStyle w:val="BodyText"/>
        <w:spacing w:before="94"/>
      </w:pPr>
    </w:p>
    <w:p w:rsidR="00E66E45" w:rsidRDefault="00772E52">
      <w:pPr>
        <w:pStyle w:val="Heading2"/>
        <w:tabs>
          <w:tab w:val="left" w:pos="1519"/>
        </w:tabs>
      </w:pPr>
      <w:r>
        <w:pict>
          <v:rect id="docshape3" o:spid="_x0000_s1031" style="position:absolute;left:0;text-align:left;margin-left:52.55pt;margin-top:17.75pt;width:506.9pt;height:.95pt;z-index:15729664;mso-position-horizontal-relative:page" fillcolor="#2d4979" stroked="f">
            <w10:wrap anchorx="page"/>
          </v:rect>
        </w:pict>
      </w:r>
      <w:r w:rsidR="005D71B9">
        <w:rPr>
          <w:color w:val="1F396D"/>
          <w:spacing w:val="12"/>
        </w:rPr>
        <w:t>C</w:t>
      </w:r>
      <w:r w:rsidR="005D71B9">
        <w:rPr>
          <w:color w:val="1F396D"/>
        </w:rPr>
        <w:t xml:space="preserve"> O</w:t>
      </w:r>
      <w:r w:rsidR="005D71B9">
        <w:rPr>
          <w:color w:val="1F396D"/>
          <w:spacing w:val="12"/>
        </w:rPr>
        <w:t>R</w:t>
      </w:r>
      <w:r w:rsidR="005D71B9">
        <w:rPr>
          <w:color w:val="1F396D"/>
          <w:spacing w:val="-10"/>
        </w:rPr>
        <w:t>E</w:t>
      </w:r>
      <w:r w:rsidR="005D71B9">
        <w:rPr>
          <w:color w:val="1F396D"/>
        </w:rPr>
        <w:tab/>
      </w:r>
      <w:r w:rsidR="005D71B9">
        <w:rPr>
          <w:color w:val="1F396D"/>
          <w:spacing w:val="12"/>
        </w:rPr>
        <w:t>C</w:t>
      </w:r>
      <w:r w:rsidR="005D71B9">
        <w:rPr>
          <w:color w:val="1F396D"/>
        </w:rPr>
        <w:t>OMPETE</w:t>
      </w:r>
      <w:r w:rsidR="005D71B9">
        <w:rPr>
          <w:color w:val="1F396D"/>
          <w:spacing w:val="12"/>
        </w:rPr>
        <w:t>NC</w:t>
      </w:r>
      <w:r w:rsidR="005D71B9">
        <w:rPr>
          <w:color w:val="1F396D"/>
        </w:rPr>
        <w:t xml:space="preserve"> IE</w:t>
      </w:r>
      <w:r w:rsidR="005D71B9">
        <w:rPr>
          <w:color w:val="1F396D"/>
          <w:spacing w:val="-10"/>
        </w:rPr>
        <w:t>S</w:t>
      </w:r>
    </w:p>
    <w:p w:rsidR="00E66E45" w:rsidRDefault="00E66E45">
      <w:pPr>
        <w:pStyle w:val="BodyText"/>
        <w:rPr>
          <w:rFonts w:ascii="Arial"/>
          <w:b/>
          <w:sz w:val="20"/>
        </w:rPr>
      </w:pPr>
    </w:p>
    <w:p w:rsidR="00E66E45" w:rsidRDefault="00E66E45"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75"/>
        <w:gridCol w:w="7178"/>
      </w:tblGrid>
      <w:tr w:rsidR="00E66E45">
        <w:trPr>
          <w:trHeight w:val="465"/>
        </w:trPr>
        <w:tc>
          <w:tcPr>
            <w:tcW w:w="2075" w:type="dxa"/>
          </w:tcPr>
          <w:p w:rsidR="00E66E45" w:rsidRDefault="005D71B9">
            <w:pPr>
              <w:pStyle w:val="TableParagraph"/>
              <w:spacing w:before="0" w:line="201" w:lineRule="exac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z w:val="18"/>
              </w:rPr>
              <w:t>Execution</w:t>
            </w:r>
            <w:r>
              <w:rPr>
                <w:rFonts w:ascii="Arial"/>
                <w:b/>
                <w:color w:val="1F396D"/>
                <w:spacing w:val="-2"/>
                <w:sz w:val="18"/>
              </w:rPr>
              <w:t>Leadership</w:t>
            </w:r>
            <w:proofErr w:type="spellEnd"/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spacing w:before="0"/>
              <w:ind w:left="154"/>
              <w:rPr>
                <w:sz w:val="18"/>
              </w:rPr>
            </w:pPr>
            <w:r>
              <w:rPr>
                <w:color w:val="1C1C1C"/>
                <w:sz w:val="18"/>
              </w:rPr>
              <w:t>CTO/CIOAlignment·DeliveryGovernance·Cross-orgCoordination·Accountability Culture · Org Design</w:t>
            </w:r>
          </w:p>
        </w:tc>
      </w:tr>
      <w:tr w:rsidR="00E66E45">
        <w:trPr>
          <w:trHeight w:val="523"/>
        </w:trPr>
        <w:tc>
          <w:tcPr>
            <w:tcW w:w="2075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z w:val="18"/>
              </w:rPr>
              <w:t>Platform&amp;</w:t>
            </w:r>
            <w:r>
              <w:rPr>
                <w:rFonts w:ascii="Arial"/>
                <w:b/>
                <w:color w:val="1F396D"/>
                <w:spacing w:val="-2"/>
                <w:sz w:val="18"/>
              </w:rPr>
              <w:t>Cloud</w:t>
            </w:r>
            <w:proofErr w:type="spellEnd"/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ind w:left="154"/>
              <w:rPr>
                <w:sz w:val="18"/>
              </w:rPr>
            </w:pPr>
            <w:r>
              <w:rPr>
                <w:color w:val="1C1C1C"/>
                <w:sz w:val="18"/>
              </w:rPr>
              <w:t xml:space="preserve">PlatformEngineering·CloudTransformation·AWS·Azure·GCP·HybridCloud·IaC </w:t>
            </w:r>
            <w:r>
              <w:rPr>
                <w:color w:val="1C1C1C"/>
                <w:spacing w:val="-2"/>
                <w:sz w:val="18"/>
              </w:rPr>
              <w:t>(</w:t>
            </w:r>
            <w:proofErr w:type="spellStart"/>
            <w:r>
              <w:rPr>
                <w:color w:val="1C1C1C"/>
                <w:spacing w:val="-2"/>
                <w:sz w:val="18"/>
              </w:rPr>
              <w:t>Terraform</w:t>
            </w:r>
            <w:proofErr w:type="spellEnd"/>
            <w:r>
              <w:rPr>
                <w:color w:val="1C1C1C"/>
                <w:spacing w:val="-2"/>
                <w:sz w:val="18"/>
              </w:rPr>
              <w:t>)</w:t>
            </w:r>
          </w:p>
        </w:tc>
      </w:tr>
      <w:tr w:rsidR="00E66E45">
        <w:trPr>
          <w:trHeight w:val="525"/>
        </w:trPr>
        <w:tc>
          <w:tcPr>
            <w:tcW w:w="2075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z w:val="18"/>
              </w:rPr>
              <w:t>DevSecOps</w:t>
            </w:r>
            <w:proofErr w:type="spellEnd"/>
            <w:r>
              <w:rPr>
                <w:rFonts w:ascii="Arial"/>
                <w:b/>
                <w:color w:val="1F396D"/>
                <w:sz w:val="18"/>
              </w:rPr>
              <w:t>/</w:t>
            </w:r>
            <w:r>
              <w:rPr>
                <w:rFonts w:ascii="Arial"/>
                <w:b/>
                <w:color w:val="1F396D"/>
                <w:spacing w:val="-5"/>
                <w:sz w:val="18"/>
              </w:rPr>
              <w:t>SRE</w:t>
            </w:r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ind w:left="154"/>
              <w:rPr>
                <w:sz w:val="18"/>
              </w:rPr>
            </w:pPr>
            <w:proofErr w:type="spellStart"/>
            <w:r>
              <w:rPr>
                <w:color w:val="1C1C1C"/>
                <w:sz w:val="18"/>
              </w:rPr>
              <w:t>DevSecOps·SRE·CI</w:t>
            </w:r>
            <w:proofErr w:type="spellEnd"/>
            <w:r>
              <w:rPr>
                <w:color w:val="1C1C1C"/>
                <w:sz w:val="18"/>
              </w:rPr>
              <w:t>/CD·SLIs/SLOs/</w:t>
            </w:r>
            <w:proofErr w:type="spellStart"/>
            <w:r>
              <w:rPr>
                <w:color w:val="1C1C1C"/>
                <w:sz w:val="18"/>
              </w:rPr>
              <w:t>ErrorBudgets·ChaosEngineering</w:t>
            </w:r>
            <w:proofErr w:type="spellEnd"/>
            <w:r>
              <w:rPr>
                <w:color w:val="1C1C1C"/>
                <w:sz w:val="18"/>
              </w:rPr>
              <w:t xml:space="preserve">· </w:t>
            </w:r>
            <w:proofErr w:type="spellStart"/>
            <w:r>
              <w:rPr>
                <w:color w:val="1C1C1C"/>
                <w:sz w:val="18"/>
              </w:rPr>
              <w:t>Observability</w:t>
            </w:r>
            <w:proofErr w:type="spellEnd"/>
            <w:r>
              <w:rPr>
                <w:color w:val="1C1C1C"/>
                <w:sz w:val="18"/>
              </w:rPr>
              <w:t xml:space="preserve"> · Incident Management</w:t>
            </w:r>
          </w:p>
        </w:tc>
      </w:tr>
      <w:tr w:rsidR="00E66E45">
        <w:trPr>
          <w:trHeight w:val="523"/>
        </w:trPr>
        <w:tc>
          <w:tcPr>
            <w:tcW w:w="2075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96D"/>
                <w:spacing w:val="-2"/>
                <w:sz w:val="18"/>
              </w:rPr>
              <w:t>Modernization</w:t>
            </w:r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ind w:left="154"/>
              <w:rPr>
                <w:sz w:val="18"/>
              </w:rPr>
            </w:pPr>
            <w:r>
              <w:rPr>
                <w:color w:val="1C1C1C"/>
                <w:sz w:val="18"/>
              </w:rPr>
              <w:t xml:space="preserve">LegacyModernization·PlatformRationalization·CloudAdoption·Open-Source Ecosystems · </w:t>
            </w:r>
            <w:proofErr w:type="spellStart"/>
            <w:r>
              <w:rPr>
                <w:color w:val="1C1C1C"/>
                <w:sz w:val="18"/>
              </w:rPr>
              <w:t>Kubernetes</w:t>
            </w:r>
            <w:proofErr w:type="spellEnd"/>
          </w:p>
        </w:tc>
      </w:tr>
      <w:tr w:rsidR="00E66E45">
        <w:trPr>
          <w:trHeight w:val="523"/>
        </w:trPr>
        <w:tc>
          <w:tcPr>
            <w:tcW w:w="2075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96D"/>
                <w:sz w:val="18"/>
              </w:rPr>
              <w:t>Financial</w:t>
            </w:r>
            <w:r>
              <w:rPr>
                <w:rFonts w:ascii="Arial"/>
                <w:b/>
                <w:color w:val="1F396D"/>
                <w:spacing w:val="-2"/>
                <w:sz w:val="18"/>
              </w:rPr>
              <w:t xml:space="preserve"> Services</w:t>
            </w:r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ind w:left="154"/>
              <w:rPr>
                <w:sz w:val="18"/>
              </w:rPr>
            </w:pPr>
            <w:r>
              <w:rPr>
                <w:color w:val="1C1C1C"/>
                <w:sz w:val="18"/>
              </w:rPr>
              <w:t>RegulatedEnvironmentDelivery·Risk/ComplianceControls·Kafka·Enterprise Infrastructure · Wells Fargo · JPMC</w:t>
            </w:r>
          </w:p>
        </w:tc>
      </w:tr>
      <w:tr w:rsidR="00E66E45">
        <w:trPr>
          <w:trHeight w:val="525"/>
        </w:trPr>
        <w:tc>
          <w:tcPr>
            <w:tcW w:w="2075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z w:val="18"/>
              </w:rPr>
              <w:t>AI&amp;</w:t>
            </w:r>
            <w:r>
              <w:rPr>
                <w:rFonts w:ascii="Arial"/>
                <w:b/>
                <w:color w:val="1F396D"/>
                <w:spacing w:val="-2"/>
                <w:sz w:val="18"/>
              </w:rPr>
              <w:t>Innovation</w:t>
            </w:r>
            <w:proofErr w:type="spellEnd"/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ind w:left="154"/>
              <w:rPr>
                <w:sz w:val="18"/>
              </w:rPr>
            </w:pPr>
            <w:r>
              <w:rPr>
                <w:color w:val="1C1C1C"/>
                <w:sz w:val="18"/>
              </w:rPr>
              <w:t>GenAIEnablement·DataDogWatchdog·RAG/LLMChatbotDevelopment·Enterprise GPT · AI-Driven Operations</w:t>
            </w:r>
          </w:p>
        </w:tc>
      </w:tr>
      <w:tr w:rsidR="00E66E45">
        <w:trPr>
          <w:trHeight w:val="465"/>
        </w:trPr>
        <w:tc>
          <w:tcPr>
            <w:tcW w:w="2075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96D"/>
                <w:spacing w:val="-2"/>
                <w:sz w:val="18"/>
              </w:rPr>
              <w:t>Operations</w:t>
            </w:r>
          </w:p>
        </w:tc>
        <w:tc>
          <w:tcPr>
            <w:tcW w:w="7178" w:type="dxa"/>
          </w:tcPr>
          <w:p w:rsidR="00E66E45" w:rsidRDefault="005D71B9">
            <w:pPr>
              <w:pStyle w:val="TableParagraph"/>
              <w:spacing w:before="33" w:line="206" w:lineRule="exact"/>
              <w:ind w:left="154"/>
              <w:rPr>
                <w:sz w:val="18"/>
              </w:rPr>
            </w:pPr>
            <w:r>
              <w:rPr>
                <w:color w:val="1C1C1C"/>
                <w:sz w:val="18"/>
              </w:rPr>
              <w:t>BudgetOwnership($3M–$4M)·HeadcountPlanning·ResourceAllocation·Project Management · Vendor Strategy</w:t>
            </w:r>
          </w:p>
        </w:tc>
      </w:tr>
    </w:tbl>
    <w:p w:rsidR="00E66E45" w:rsidRDefault="00E66E45">
      <w:pPr>
        <w:pStyle w:val="BodyText"/>
        <w:rPr>
          <w:rFonts w:ascii="Arial"/>
          <w:b/>
          <w:sz w:val="24"/>
        </w:rPr>
      </w:pPr>
    </w:p>
    <w:p w:rsidR="00E66E45" w:rsidRDefault="00E66E45">
      <w:pPr>
        <w:pStyle w:val="BodyText"/>
        <w:spacing w:before="36"/>
        <w:rPr>
          <w:rFonts w:ascii="Arial"/>
          <w:b/>
          <w:sz w:val="24"/>
        </w:rPr>
      </w:pPr>
    </w:p>
    <w:p w:rsidR="00E66E45" w:rsidRDefault="00772E52">
      <w:pPr>
        <w:pStyle w:val="Heading2"/>
        <w:tabs>
          <w:tab w:val="left" w:pos="3357"/>
        </w:tabs>
        <w:spacing w:before="1"/>
      </w:pPr>
      <w:r>
        <w:pict>
          <v:rect id="docshape4" o:spid="_x0000_s1030" style="position:absolute;left:0;text-align:left;margin-left:52.55pt;margin-top:17.8pt;width:506.9pt;height:.95pt;z-index:15730176;mso-position-horizontal-relative:page" fillcolor="#2d4979" stroked="f">
            <w10:wrap anchorx="page"/>
          </v:rect>
        </w:pict>
      </w:r>
      <w:r w:rsidR="005D71B9">
        <w:rPr>
          <w:color w:val="1F396D"/>
          <w:spacing w:val="13"/>
        </w:rPr>
        <w:t>P</w:t>
      </w:r>
      <w:r w:rsidR="005D71B9">
        <w:rPr>
          <w:color w:val="1F396D"/>
        </w:rPr>
        <w:t xml:space="preserve"> ROF</w:t>
      </w:r>
      <w:r w:rsidR="005D71B9">
        <w:rPr>
          <w:color w:val="1F396D"/>
          <w:spacing w:val="13"/>
        </w:rPr>
        <w:t>ESS</w:t>
      </w:r>
      <w:r w:rsidR="005D71B9">
        <w:rPr>
          <w:color w:val="1F396D"/>
        </w:rPr>
        <w:t xml:space="preserve"> IONA</w:t>
      </w:r>
      <w:r w:rsidR="005D71B9">
        <w:rPr>
          <w:color w:val="1F396D"/>
          <w:spacing w:val="-10"/>
        </w:rPr>
        <w:t>L</w:t>
      </w:r>
      <w:r w:rsidR="005D71B9">
        <w:rPr>
          <w:color w:val="1F396D"/>
        </w:rPr>
        <w:tab/>
      </w:r>
      <w:r w:rsidR="005D71B9">
        <w:rPr>
          <w:color w:val="1F396D"/>
          <w:spacing w:val="13"/>
        </w:rPr>
        <w:t>EXP</w:t>
      </w:r>
      <w:r w:rsidR="005D71B9">
        <w:rPr>
          <w:color w:val="1F396D"/>
        </w:rPr>
        <w:t xml:space="preserve"> ERIENC</w:t>
      </w:r>
      <w:r w:rsidR="005D71B9">
        <w:rPr>
          <w:color w:val="1F396D"/>
          <w:spacing w:val="-10"/>
        </w:rPr>
        <w:t>E</w:t>
      </w:r>
    </w:p>
    <w:p w:rsidR="00E66E45" w:rsidRDefault="00E66E45">
      <w:pPr>
        <w:pStyle w:val="BodyText"/>
        <w:spacing w:before="73"/>
        <w:rPr>
          <w:rFonts w:ascii="Arial"/>
          <w:b/>
          <w:sz w:val="18"/>
        </w:rPr>
      </w:pPr>
    </w:p>
    <w:p w:rsidR="00E66E45" w:rsidRDefault="005D71B9">
      <w:pPr>
        <w:tabs>
          <w:tab w:val="left" w:pos="7027"/>
        </w:tabs>
        <w:spacing w:line="285" w:lineRule="auto"/>
        <w:ind w:left="360" w:right="718"/>
        <w:rPr>
          <w:rFonts w:ascii="Arial" w:hAnsi="Arial"/>
          <w:i/>
          <w:sz w:val="18"/>
        </w:rPr>
      </w:pPr>
      <w:proofErr w:type="spellStart"/>
      <w:r>
        <w:rPr>
          <w:rFonts w:ascii="Arial" w:hAnsi="Arial"/>
          <w:b/>
          <w:color w:val="1A2744"/>
        </w:rPr>
        <w:t>DevSecOps</w:t>
      </w:r>
      <w:proofErr w:type="spellEnd"/>
      <w:r>
        <w:rPr>
          <w:rFonts w:ascii="Arial" w:hAnsi="Arial"/>
          <w:b/>
          <w:color w:val="1A2744"/>
        </w:rPr>
        <w:t xml:space="preserve"> &amp; SRE </w:t>
      </w:r>
      <w:proofErr w:type="spellStart"/>
      <w:r>
        <w:rPr>
          <w:rFonts w:ascii="Arial" w:hAnsi="Arial"/>
          <w:b/>
          <w:color w:val="1A2744"/>
        </w:rPr>
        <w:t>Manager|GenAI</w:t>
      </w:r>
      <w:proofErr w:type="spellEnd"/>
      <w:r>
        <w:rPr>
          <w:rFonts w:ascii="Arial" w:hAnsi="Arial"/>
          <w:b/>
          <w:color w:val="1A2744"/>
        </w:rPr>
        <w:t xml:space="preserve"> </w:t>
      </w:r>
      <w:proofErr w:type="spellStart"/>
      <w:r>
        <w:rPr>
          <w:rFonts w:ascii="Arial" w:hAnsi="Arial"/>
          <w:b/>
          <w:color w:val="1A2744"/>
        </w:rPr>
        <w:t>Lead</w:t>
      </w:r>
      <w:r>
        <w:rPr>
          <w:color w:val="5A6A79"/>
          <w:sz w:val="19"/>
        </w:rPr>
        <w:t>·</w:t>
      </w:r>
      <w:r>
        <w:rPr>
          <w:rFonts w:ascii="Arial" w:hAnsi="Arial"/>
          <w:b/>
          <w:color w:val="395A9A"/>
          <w:sz w:val="20"/>
        </w:rPr>
        <w:t>PwC</w:t>
      </w:r>
      <w:proofErr w:type="spellEnd"/>
      <w:r>
        <w:rPr>
          <w:rFonts w:ascii="Arial" w:hAnsi="Arial"/>
          <w:b/>
          <w:color w:val="395A9A"/>
          <w:sz w:val="20"/>
        </w:rPr>
        <w:t xml:space="preserve"> Digital</w:t>
      </w:r>
      <w:r>
        <w:rPr>
          <w:rFonts w:ascii="Arial" w:hAnsi="Arial"/>
          <w:b/>
          <w:color w:val="395A9A"/>
          <w:sz w:val="20"/>
        </w:rPr>
        <w:tab/>
      </w:r>
      <w:r>
        <w:rPr>
          <w:rFonts w:ascii="Arial" w:hAnsi="Arial"/>
          <w:i/>
          <w:color w:val="5A6A79"/>
          <w:sz w:val="18"/>
        </w:rPr>
        <w:t xml:space="preserve">Jul2021–Present·3yrs9mos Leading 11 Engineers·4 Platforms·14 Applications·$3M–$4M </w:t>
      </w:r>
      <w:proofErr w:type="spellStart"/>
      <w:r>
        <w:rPr>
          <w:rFonts w:ascii="Arial" w:hAnsi="Arial"/>
          <w:i/>
          <w:color w:val="5A6A79"/>
          <w:sz w:val="18"/>
        </w:rPr>
        <w:t>Budget·Chicago</w:t>
      </w:r>
      <w:proofErr w:type="spellEnd"/>
      <w:r>
        <w:rPr>
          <w:rFonts w:ascii="Arial" w:hAnsi="Arial"/>
          <w:i/>
          <w:color w:val="5A6A79"/>
          <w:sz w:val="18"/>
        </w:rPr>
        <w:t>, IL</w:t>
      </w:r>
    </w:p>
    <w:p w:rsidR="00E66E45" w:rsidRDefault="00E66E45">
      <w:pPr>
        <w:pStyle w:val="BodyText"/>
        <w:spacing w:before="104"/>
        <w:rPr>
          <w:rFonts w:ascii="Arial"/>
          <w:i/>
          <w:sz w:val="18"/>
        </w:rPr>
      </w:pPr>
    </w:p>
    <w:p w:rsidR="00E66E45" w:rsidRDefault="005D71B9">
      <w:pPr>
        <w:pStyle w:val="BodyText"/>
        <w:ind w:left="359"/>
      </w:pPr>
      <w:r>
        <w:rPr>
          <w:color w:val="1C1C1C"/>
        </w:rPr>
        <w:t xml:space="preserve">Serveastheprimarytechnologyexecutionleaderforaportfolioofenterpriseplatformsanddistributedapplications, acting as the execution arm of senior technology leadership. Drive cross-organizational delivery spanning platform engineering, </w:t>
      </w:r>
      <w:proofErr w:type="spellStart"/>
      <w:r>
        <w:rPr>
          <w:color w:val="1C1C1C"/>
        </w:rPr>
        <w:t>DevSecOps</w:t>
      </w:r>
      <w:proofErr w:type="spellEnd"/>
      <w:r>
        <w:rPr>
          <w:color w:val="1C1C1C"/>
        </w:rPr>
        <w:t xml:space="preserve">, SRE, </w:t>
      </w:r>
      <w:proofErr w:type="spellStart"/>
      <w:r>
        <w:rPr>
          <w:color w:val="1C1C1C"/>
        </w:rPr>
        <w:t>observability</w:t>
      </w:r>
      <w:proofErr w:type="spellEnd"/>
      <w:r>
        <w:rPr>
          <w:color w:val="1C1C1C"/>
        </w:rPr>
        <w:t xml:space="preserve">, CI/CD, and </w:t>
      </w:r>
      <w:proofErr w:type="spellStart"/>
      <w:r>
        <w:rPr>
          <w:color w:val="1C1C1C"/>
        </w:rPr>
        <w:t>GenAI</w:t>
      </w:r>
      <w:proofErr w:type="spellEnd"/>
      <w:r>
        <w:rPr>
          <w:color w:val="1C1C1C"/>
        </w:rPr>
        <w:t xml:space="preserve">-enabled operations across a regulated enterprise </w:t>
      </w:r>
      <w:r>
        <w:rPr>
          <w:color w:val="1C1C1C"/>
          <w:spacing w:val="-2"/>
        </w:rPr>
        <w:t>environment.</w:t>
      </w:r>
    </w:p>
    <w:p w:rsidR="00E66E45" w:rsidRDefault="00E66E45">
      <w:pPr>
        <w:pStyle w:val="BodyText"/>
        <w:spacing w:before="112"/>
      </w:pP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280"/>
        <w:rPr>
          <w:sz w:val="19"/>
        </w:rPr>
      </w:pPr>
      <w:r>
        <w:rPr>
          <w:color w:val="1C1C1C"/>
          <w:sz w:val="19"/>
        </w:rPr>
        <w:t>Lead11engineersacross4enterpriseplatformssupporting14client-facingandinternaldistributed</w:t>
      </w:r>
      <w:r>
        <w:rPr>
          <w:color w:val="1C1C1C"/>
          <w:spacing w:val="-2"/>
          <w:sz w:val="19"/>
        </w:rPr>
        <w:t>applications</w:t>
      </w:r>
    </w:p>
    <w:p w:rsidR="00E66E45" w:rsidRDefault="005D71B9">
      <w:pPr>
        <w:pStyle w:val="BodyText"/>
        <w:ind w:left="840"/>
      </w:pPr>
      <w:r>
        <w:rPr>
          <w:color w:val="1C1C1C"/>
        </w:rPr>
        <w:t>—owningfullplatformhealth,deliveryexecution,servicereliability,andoperational</w:t>
      </w:r>
      <w:r>
        <w:rPr>
          <w:color w:val="1C1C1C"/>
          <w:spacing w:val="-2"/>
        </w:rPr>
        <w:t>outcomes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38"/>
        <w:ind w:right="860"/>
        <w:rPr>
          <w:sz w:val="19"/>
        </w:rPr>
      </w:pPr>
      <w:r>
        <w:rPr>
          <w:color w:val="1C1C1C"/>
          <w:sz w:val="19"/>
        </w:rPr>
        <w:t>Manage a $3M–$4M technology budget portfolio, aligning investment decisions with platform strategy, modernizationpriorities,andbusinessobjectiveswhiledrivingcostgovernanceandlong-termscalability</w:t>
      </w:r>
    </w:p>
    <w:p w:rsidR="00E66E45" w:rsidRDefault="00E66E45">
      <w:pPr>
        <w:pStyle w:val="ListParagraph"/>
        <w:rPr>
          <w:sz w:val="19"/>
        </w:rPr>
        <w:sectPr w:rsidR="00E66E45">
          <w:type w:val="continuous"/>
          <w:pgSz w:w="12240" w:h="15840"/>
          <w:pgMar w:top="840" w:right="1080" w:bottom="280" w:left="720" w:header="720" w:footer="720" w:gutter="0"/>
          <w:cols w:space="720"/>
        </w:sectPr>
      </w:pP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79"/>
        <w:ind w:right="88"/>
        <w:rPr>
          <w:sz w:val="19"/>
        </w:rPr>
      </w:pPr>
      <w:r>
        <w:rPr>
          <w:color w:val="1C1C1C"/>
          <w:sz w:val="19"/>
        </w:rPr>
        <w:lastRenderedPageBreak/>
        <w:t>Actastheprimaryexecutionpartnertoseniortechnologyleadership,providingclearvisibilityintoplatformhealth, delivery status, risks, and trade-offs across a complex multi-application portfolio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520"/>
        <w:rPr>
          <w:sz w:val="19"/>
        </w:rPr>
      </w:pPr>
      <w:r>
        <w:rPr>
          <w:color w:val="1C1C1C"/>
          <w:sz w:val="19"/>
        </w:rPr>
        <w:t>DefineandoperationalizeSLIs,SLOs,anderrorbudgetstoimprovedeliveryaccountability,balancerelease velocity with platform stability, and establish measurable reliability outcomes across engineering teams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38" w:line="242" w:lineRule="auto"/>
        <w:ind w:left="839" w:right="49"/>
        <w:rPr>
          <w:sz w:val="19"/>
        </w:rPr>
      </w:pPr>
      <w:r>
        <w:rPr>
          <w:color w:val="1C1C1C"/>
          <w:sz w:val="19"/>
        </w:rPr>
        <w:t>PioneerGenAIadoptionwithinSREoperations—leveragingDataDogWatchdogtosurfaceanomaliesmissedby traditional monitoring, enabling proactive error resolution before escalation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36"/>
        <w:ind w:right="850"/>
        <w:rPr>
          <w:sz w:val="19"/>
        </w:rPr>
      </w:pPr>
      <w:r>
        <w:rPr>
          <w:color w:val="1C1C1C"/>
          <w:sz w:val="19"/>
        </w:rPr>
        <w:t xml:space="preserve">CollaboratedwithRAGteamtoarchitectanddeployanLLM-poweredchatbotthatqueriesandanalyzes knowledge base articles </w:t>
      </w:r>
      <w:proofErr w:type="spellStart"/>
      <w:r>
        <w:rPr>
          <w:color w:val="1C1C1C"/>
          <w:sz w:val="19"/>
        </w:rPr>
        <w:t>andrunbooks</w:t>
      </w:r>
      <w:proofErr w:type="spellEnd"/>
      <w:r>
        <w:rPr>
          <w:color w:val="1C1C1C"/>
          <w:sz w:val="19"/>
        </w:rPr>
        <w:t xml:space="preserve"> in response to SRE prompts — reducing incident resolution time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112"/>
        <w:rPr>
          <w:sz w:val="19"/>
        </w:rPr>
      </w:pPr>
      <w:r>
        <w:rPr>
          <w:color w:val="1C1C1C"/>
          <w:sz w:val="19"/>
        </w:rPr>
        <w:t>Driveplatformautomationstrategyacrossinfrastructureprovisioning,CI/CDpipelines,testing,failoverreadiness, and failure mitigation — reducing manual intervention and improving deployment consistency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40"/>
        <w:ind w:right="547"/>
        <w:rPr>
          <w:sz w:val="19"/>
        </w:rPr>
      </w:pPr>
      <w:r>
        <w:rPr>
          <w:color w:val="1C1C1C"/>
          <w:sz w:val="19"/>
        </w:rPr>
        <w:t>Leadresilienceengineeringthroughchaosengineeringprogramstostress-testplatformrobustness,identify failure points proactively, and improve system hardening across distributed environments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39"/>
        <w:ind w:right="575"/>
        <w:rPr>
          <w:sz w:val="19"/>
        </w:rPr>
      </w:pPr>
      <w:r>
        <w:rPr>
          <w:color w:val="1C1C1C"/>
          <w:sz w:val="19"/>
        </w:rPr>
        <w:t>Createprocesses,blueprints,andgovernanceframeworkstoembedreliability,operability,andsecurityinto platform design from the ground up — aligning with open-source-first engineering principles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40"/>
        <w:ind w:right="196"/>
        <w:rPr>
          <w:sz w:val="19"/>
        </w:rPr>
      </w:pPr>
      <w:r>
        <w:rPr>
          <w:color w:val="1C1C1C"/>
          <w:sz w:val="19"/>
        </w:rPr>
        <w:t>Partnerwithengineering,architecture,security,andbusinessstakeholderstoalignplatformroadmaps,prioritize delivery, and remove systemic bottlenecks in how software is designed, built, tested, and deployed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349"/>
        <w:rPr>
          <w:sz w:val="19"/>
        </w:rPr>
      </w:pPr>
      <w:r>
        <w:rPr>
          <w:color w:val="1C1C1C"/>
          <w:sz w:val="19"/>
        </w:rPr>
        <w:t>Buildanddevelopengineeringtalentthroughstandardizedbestpractices,runbookdocumentation,playbooks, and platform enablement — fostering an accountability and ownership culture across the team</w:t>
      </w:r>
    </w:p>
    <w:p w:rsidR="00E66E45" w:rsidRDefault="00E66E45">
      <w:pPr>
        <w:pStyle w:val="BodyText"/>
        <w:spacing w:before="122"/>
      </w:pPr>
    </w:p>
    <w:p w:rsidR="00E66E45" w:rsidRDefault="005D71B9">
      <w:pPr>
        <w:pStyle w:val="BodyText"/>
        <w:ind w:left="360" w:right="71"/>
      </w:pPr>
      <w:r>
        <w:rPr>
          <w:color w:val="1C1C1C"/>
        </w:rPr>
        <w:t xml:space="preserve">Technologies:Kubernetes·Terraform·AWS·Azure·Kafka·DataDog·Prometheus·Grafana·CI/CD·GitHub · ADO · </w:t>
      </w:r>
      <w:proofErr w:type="spellStart"/>
      <w:r>
        <w:rPr>
          <w:color w:val="1C1C1C"/>
        </w:rPr>
        <w:t>GenAI</w:t>
      </w:r>
      <w:proofErr w:type="spellEnd"/>
      <w:r>
        <w:rPr>
          <w:color w:val="1C1C1C"/>
        </w:rPr>
        <w:t>/LLM</w:t>
      </w:r>
    </w:p>
    <w:p w:rsidR="00E66E45" w:rsidRDefault="00E66E45">
      <w:pPr>
        <w:pStyle w:val="BodyText"/>
      </w:pPr>
    </w:p>
    <w:p w:rsidR="00E66E45" w:rsidRDefault="00E66E45">
      <w:pPr>
        <w:pStyle w:val="BodyText"/>
        <w:spacing w:before="72"/>
      </w:pPr>
    </w:p>
    <w:p w:rsidR="00E66E45" w:rsidRDefault="005D71B9">
      <w:pPr>
        <w:tabs>
          <w:tab w:val="left" w:pos="7509"/>
        </w:tabs>
        <w:spacing w:line="285" w:lineRule="auto"/>
        <w:ind w:left="360" w:right="718"/>
        <w:rPr>
          <w:rFonts w:ascii="Arial" w:hAnsi="Arial"/>
          <w:i/>
          <w:sz w:val="18"/>
        </w:rPr>
      </w:pPr>
      <w:r>
        <w:rPr>
          <w:rFonts w:ascii="Arial" w:hAnsi="Arial"/>
          <w:b/>
          <w:color w:val="1A2744"/>
        </w:rPr>
        <w:t xml:space="preserve">AVP – </w:t>
      </w:r>
      <w:proofErr w:type="spellStart"/>
      <w:r>
        <w:rPr>
          <w:rFonts w:ascii="Arial" w:hAnsi="Arial"/>
          <w:b/>
          <w:color w:val="1A2744"/>
        </w:rPr>
        <w:t>DevOps</w:t>
      </w:r>
      <w:proofErr w:type="spellEnd"/>
      <w:r>
        <w:rPr>
          <w:rFonts w:ascii="Arial" w:hAnsi="Arial"/>
          <w:b/>
          <w:color w:val="1A2744"/>
        </w:rPr>
        <w:t xml:space="preserve"> / Kafka </w:t>
      </w:r>
      <w:proofErr w:type="spellStart"/>
      <w:r>
        <w:rPr>
          <w:rFonts w:ascii="Arial" w:hAnsi="Arial"/>
          <w:b/>
          <w:color w:val="1A2744"/>
        </w:rPr>
        <w:t>Engineer</w:t>
      </w:r>
      <w:r>
        <w:rPr>
          <w:color w:val="5A6A79"/>
          <w:sz w:val="19"/>
        </w:rPr>
        <w:t>·</w:t>
      </w:r>
      <w:r>
        <w:rPr>
          <w:rFonts w:ascii="Arial" w:hAnsi="Arial"/>
          <w:b/>
          <w:color w:val="395A9A"/>
          <w:sz w:val="20"/>
        </w:rPr>
        <w:t>Wells</w:t>
      </w:r>
      <w:proofErr w:type="spellEnd"/>
      <w:r>
        <w:rPr>
          <w:rFonts w:ascii="Arial" w:hAnsi="Arial"/>
          <w:b/>
          <w:color w:val="395A9A"/>
          <w:sz w:val="20"/>
        </w:rPr>
        <w:t xml:space="preserve"> Fargo</w:t>
      </w:r>
      <w:r>
        <w:rPr>
          <w:rFonts w:ascii="Arial" w:hAnsi="Arial"/>
          <w:b/>
          <w:color w:val="395A9A"/>
          <w:sz w:val="20"/>
        </w:rPr>
        <w:tab/>
      </w:r>
      <w:r>
        <w:rPr>
          <w:rFonts w:ascii="Arial" w:hAnsi="Arial"/>
          <w:i/>
          <w:color w:val="5A6A79"/>
          <w:sz w:val="18"/>
        </w:rPr>
        <w:t>Jul2019–Jul2021·2yrs Financial Services · Enterprise Infrastructure · Kafka · Cloud Migration · Chicago, IL</w:t>
      </w:r>
    </w:p>
    <w:p w:rsidR="00E66E45" w:rsidRDefault="00E66E45">
      <w:pPr>
        <w:pStyle w:val="BodyText"/>
        <w:spacing w:before="95"/>
        <w:rPr>
          <w:rFonts w:ascii="Arial"/>
          <w:i/>
          <w:sz w:val="18"/>
        </w:rPr>
      </w:pP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839" w:right="174"/>
        <w:rPr>
          <w:sz w:val="19"/>
        </w:rPr>
      </w:pPr>
      <w:r>
        <w:rPr>
          <w:color w:val="1C1C1C"/>
          <w:sz w:val="19"/>
        </w:rPr>
        <w:t xml:space="preserve">Ledcomplexenterprise-levelinfrastructureprogramsincludinginfrastructurecurrencyupgrades,applicationand data center consolidation, Identity Management, and O365 migrations (Mail, </w:t>
      </w:r>
      <w:proofErr w:type="spellStart"/>
      <w:r>
        <w:rPr>
          <w:color w:val="1C1C1C"/>
          <w:sz w:val="19"/>
        </w:rPr>
        <w:t>Lync</w:t>
      </w:r>
      <w:proofErr w:type="spellEnd"/>
      <w:r>
        <w:rPr>
          <w:color w:val="1C1C1C"/>
          <w:sz w:val="19"/>
        </w:rPr>
        <w:t xml:space="preserve">, </w:t>
      </w:r>
      <w:proofErr w:type="spellStart"/>
      <w:r>
        <w:rPr>
          <w:color w:val="1C1C1C"/>
          <w:sz w:val="19"/>
        </w:rPr>
        <w:t>OneDrive</w:t>
      </w:r>
      <w:proofErr w:type="spellEnd"/>
      <w:r>
        <w:rPr>
          <w:color w:val="1C1C1C"/>
          <w:sz w:val="19"/>
        </w:rPr>
        <w:t>, SharePoint)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882"/>
        <w:rPr>
          <w:sz w:val="19"/>
        </w:rPr>
      </w:pPr>
      <w:r>
        <w:rPr>
          <w:color w:val="1C1C1C"/>
          <w:sz w:val="19"/>
        </w:rPr>
        <w:t>Translatedbusinessrequirementsintoscalableinfrastructuresolutions,addressingsecurity,availability, performance, scalability, and manageability across regulated financial services environments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40"/>
        <w:ind w:right="155"/>
        <w:rPr>
          <w:sz w:val="19"/>
        </w:rPr>
      </w:pPr>
      <w:r>
        <w:rPr>
          <w:color w:val="1C1C1C"/>
          <w:sz w:val="19"/>
        </w:rPr>
        <w:t>Developedstrategyandroadmapsformigrationoflegacyapplicationstocloudplatforms,owningexecutionfrom planning through delivery in a compliance-sensitive environment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680"/>
        <w:rPr>
          <w:sz w:val="19"/>
        </w:rPr>
      </w:pPr>
      <w:r>
        <w:rPr>
          <w:color w:val="1C1C1C"/>
          <w:sz w:val="19"/>
        </w:rPr>
        <w:t>OperatedasaseniorDevOpsandKafkaengineeringleaderwithinalarge,multi-layeredfinancialservices organization — navigating complex stakeholder environments and regulated delivery constraints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38"/>
        <w:ind w:right="301"/>
        <w:rPr>
          <w:sz w:val="19"/>
        </w:rPr>
      </w:pPr>
      <w:r>
        <w:rPr>
          <w:color w:val="1C1C1C"/>
          <w:sz w:val="19"/>
        </w:rPr>
        <w:t>Deliveredcross-functionalinfrastructureandengineeringoutcomesinpartnershipwithapplicationengineering, architecture, operations, and business teams at enterprise scale</w:t>
      </w:r>
    </w:p>
    <w:p w:rsidR="00E66E45" w:rsidRDefault="00E66E45">
      <w:pPr>
        <w:pStyle w:val="BodyText"/>
      </w:pPr>
    </w:p>
    <w:p w:rsidR="00E66E45" w:rsidRDefault="00E66E45">
      <w:pPr>
        <w:pStyle w:val="BodyText"/>
        <w:spacing w:before="75"/>
      </w:pPr>
    </w:p>
    <w:p w:rsidR="00E66E45" w:rsidRDefault="005D71B9">
      <w:pPr>
        <w:tabs>
          <w:tab w:val="left" w:pos="8068"/>
        </w:tabs>
        <w:spacing w:line="285" w:lineRule="auto"/>
        <w:ind w:left="360" w:right="716"/>
        <w:rPr>
          <w:rFonts w:ascii="Arial" w:hAnsi="Arial"/>
          <w:i/>
          <w:sz w:val="18"/>
        </w:rPr>
      </w:pPr>
      <w:r>
        <w:rPr>
          <w:rFonts w:ascii="Arial" w:hAnsi="Arial"/>
          <w:b/>
          <w:color w:val="1A2744"/>
        </w:rPr>
        <w:t xml:space="preserve">Infrastructure · </w:t>
      </w:r>
      <w:proofErr w:type="spellStart"/>
      <w:r>
        <w:rPr>
          <w:rFonts w:ascii="Arial" w:hAnsi="Arial"/>
          <w:b/>
          <w:color w:val="1A2744"/>
        </w:rPr>
        <w:t>DevOps</w:t>
      </w:r>
      <w:proofErr w:type="spellEnd"/>
      <w:r>
        <w:rPr>
          <w:rFonts w:ascii="Arial" w:hAnsi="Arial"/>
          <w:b/>
          <w:color w:val="1A2744"/>
        </w:rPr>
        <w:t xml:space="preserve"> · Automation </w:t>
      </w:r>
      <w:proofErr w:type="spellStart"/>
      <w:r>
        <w:rPr>
          <w:rFonts w:ascii="Arial" w:hAnsi="Arial"/>
          <w:b/>
          <w:color w:val="1A2744"/>
        </w:rPr>
        <w:t>Engineer</w:t>
      </w:r>
      <w:r>
        <w:rPr>
          <w:color w:val="5A6A79"/>
          <w:sz w:val="19"/>
        </w:rPr>
        <w:t>·</w:t>
      </w:r>
      <w:r>
        <w:rPr>
          <w:rFonts w:ascii="Arial" w:hAnsi="Arial"/>
          <w:b/>
          <w:color w:val="395A9A"/>
          <w:sz w:val="20"/>
        </w:rPr>
        <w:t>JPMC</w:t>
      </w:r>
      <w:proofErr w:type="spellEnd"/>
      <w:r>
        <w:rPr>
          <w:rFonts w:ascii="Arial" w:hAnsi="Arial"/>
          <w:b/>
          <w:color w:val="395A9A"/>
          <w:sz w:val="20"/>
        </w:rPr>
        <w:t xml:space="preserve"> &amp; Other Firms</w:t>
      </w:r>
      <w:r>
        <w:rPr>
          <w:rFonts w:ascii="Arial" w:hAnsi="Arial"/>
          <w:b/>
          <w:color w:val="395A9A"/>
          <w:sz w:val="20"/>
        </w:rPr>
        <w:tab/>
      </w:r>
      <w:r>
        <w:rPr>
          <w:rFonts w:ascii="Arial" w:hAnsi="Arial"/>
          <w:i/>
          <w:color w:val="5A6A79"/>
          <w:sz w:val="18"/>
        </w:rPr>
        <w:t xml:space="preserve">2012–2019·7yrs Multi-firm · AWS · Azure · Agile </w:t>
      </w:r>
      <w:proofErr w:type="spellStart"/>
      <w:r>
        <w:rPr>
          <w:rFonts w:ascii="Arial" w:hAnsi="Arial"/>
          <w:i/>
          <w:color w:val="5A6A79"/>
          <w:sz w:val="18"/>
        </w:rPr>
        <w:t>DevOps</w:t>
      </w:r>
      <w:proofErr w:type="spellEnd"/>
      <w:r>
        <w:rPr>
          <w:rFonts w:ascii="Arial" w:hAnsi="Arial"/>
          <w:i/>
          <w:color w:val="5A6A79"/>
          <w:sz w:val="18"/>
        </w:rPr>
        <w:t xml:space="preserve"> · CI/CD · Reference Architecture Design</w:t>
      </w:r>
    </w:p>
    <w:p w:rsidR="00E66E45" w:rsidRDefault="00E66E45">
      <w:pPr>
        <w:pStyle w:val="BodyText"/>
        <w:spacing w:before="94"/>
        <w:rPr>
          <w:rFonts w:ascii="Arial"/>
          <w:i/>
          <w:sz w:val="18"/>
        </w:rPr>
      </w:pP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849"/>
        <w:rPr>
          <w:sz w:val="19"/>
        </w:rPr>
      </w:pPr>
      <w:r>
        <w:rPr>
          <w:color w:val="1C1C1C"/>
          <w:sz w:val="19"/>
        </w:rPr>
        <w:t>Designed,architected,andbuiltenterprise-scalesystemsleveragingnext-generationcloudservicesand automation across AWS and Azure, establishing strong technical foundations for platform delivery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40"/>
        <w:ind w:left="839" w:right="1082"/>
        <w:rPr>
          <w:sz w:val="19"/>
        </w:rPr>
      </w:pPr>
      <w:r>
        <w:rPr>
          <w:color w:val="1C1C1C"/>
          <w:sz w:val="19"/>
        </w:rPr>
        <w:t>Implementedandmanagedend-to-endCI/CDpipelinesusingautomationtoolingtostreamlinebuilds, deployments, and release cycles — reducing manual effort and improving delivery predictability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38"/>
        <w:ind w:right="426"/>
        <w:rPr>
          <w:sz w:val="19"/>
        </w:rPr>
      </w:pPr>
      <w:r>
        <w:rPr>
          <w:color w:val="1C1C1C"/>
          <w:sz w:val="19"/>
        </w:rPr>
        <w:t>Definedanddroveanautomation-firstagileDevOpssoftwaredevelopmentlifecycle,establishingengineering standards and reference architectures adopted across teams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131"/>
        <w:rPr>
          <w:sz w:val="19"/>
        </w:rPr>
      </w:pPr>
      <w:r>
        <w:rPr>
          <w:color w:val="1C1C1C"/>
          <w:sz w:val="19"/>
        </w:rPr>
        <w:t>LedinitiativestodesignandimplementDevOpssolutionsincludingreferencearchitectures,deliveryframeworks, and operational models — influencing engineering direction across multiple firms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212"/>
        <w:rPr>
          <w:sz w:val="19"/>
        </w:rPr>
      </w:pPr>
      <w:r>
        <w:rPr>
          <w:color w:val="1C1C1C"/>
          <w:sz w:val="19"/>
        </w:rPr>
        <w:t xml:space="preserve">Builta13+yeartechnicalfoundationacrossdistributedsystems,cloudplatforms,infrastructureautomation,and </w:t>
      </w:r>
      <w:proofErr w:type="spellStart"/>
      <w:r>
        <w:rPr>
          <w:color w:val="1C1C1C"/>
          <w:sz w:val="19"/>
        </w:rPr>
        <w:t>DevOps</w:t>
      </w:r>
      <w:proofErr w:type="spellEnd"/>
      <w:r>
        <w:rPr>
          <w:color w:val="1C1C1C"/>
          <w:sz w:val="19"/>
        </w:rPr>
        <w:t xml:space="preserve"> practices that underpins current Director-level leadership scope</w:t>
      </w:r>
    </w:p>
    <w:p w:rsidR="00E66E45" w:rsidRDefault="00E66E45">
      <w:pPr>
        <w:pStyle w:val="BodyText"/>
      </w:pPr>
    </w:p>
    <w:p w:rsidR="00E66E45" w:rsidRDefault="00E66E45">
      <w:pPr>
        <w:pStyle w:val="BodyText"/>
        <w:spacing w:before="113"/>
      </w:pPr>
    </w:p>
    <w:p w:rsidR="00E66E45" w:rsidRDefault="00772E52">
      <w:pPr>
        <w:pStyle w:val="Heading2"/>
        <w:tabs>
          <w:tab w:val="left" w:pos="2613"/>
        </w:tabs>
      </w:pPr>
      <w:r>
        <w:pict>
          <v:rect id="docshape5" o:spid="_x0000_s1029" style="position:absolute;left:0;text-align:left;margin-left:52.55pt;margin-top:17.75pt;width:506.9pt;height:.95pt;z-index:15730688;mso-position-horizontal-relative:page" fillcolor="#2d4979" stroked="f">
            <w10:wrap anchorx="page"/>
          </v:rect>
        </w:pict>
      </w:r>
      <w:r w:rsidR="005D71B9">
        <w:rPr>
          <w:color w:val="1F396D"/>
        </w:rPr>
        <w:t>TE</w:t>
      </w:r>
      <w:r w:rsidR="005D71B9">
        <w:rPr>
          <w:color w:val="1F396D"/>
          <w:spacing w:val="12"/>
        </w:rPr>
        <w:t>CHN</w:t>
      </w:r>
      <w:r w:rsidR="005D71B9">
        <w:rPr>
          <w:color w:val="1F396D"/>
        </w:rPr>
        <w:t xml:space="preserve"> I</w:t>
      </w:r>
      <w:r w:rsidR="005D71B9">
        <w:rPr>
          <w:color w:val="1F396D"/>
          <w:spacing w:val="12"/>
        </w:rPr>
        <w:t>C</w:t>
      </w:r>
      <w:r w:rsidR="005D71B9">
        <w:rPr>
          <w:color w:val="1F396D"/>
        </w:rPr>
        <w:t xml:space="preserve"> A</w:t>
      </w:r>
      <w:r w:rsidR="005D71B9">
        <w:rPr>
          <w:color w:val="1F396D"/>
          <w:spacing w:val="-10"/>
        </w:rPr>
        <w:t>L</w:t>
      </w:r>
      <w:r w:rsidR="005D71B9">
        <w:rPr>
          <w:color w:val="1F396D"/>
        </w:rPr>
        <w:tab/>
        <w:t>P</w:t>
      </w:r>
      <w:r w:rsidR="005D71B9">
        <w:rPr>
          <w:color w:val="1F396D"/>
          <w:spacing w:val="12"/>
        </w:rPr>
        <w:t>R</w:t>
      </w:r>
      <w:r w:rsidR="005D71B9">
        <w:rPr>
          <w:color w:val="1F396D"/>
        </w:rPr>
        <w:t xml:space="preserve"> OFI</w:t>
      </w:r>
      <w:r w:rsidR="005D71B9">
        <w:rPr>
          <w:color w:val="1F396D"/>
          <w:spacing w:val="12"/>
        </w:rPr>
        <w:t>C</w:t>
      </w:r>
      <w:r w:rsidR="005D71B9">
        <w:rPr>
          <w:color w:val="1F396D"/>
        </w:rPr>
        <w:t xml:space="preserve"> IE</w:t>
      </w:r>
      <w:r w:rsidR="005D71B9">
        <w:rPr>
          <w:color w:val="1F396D"/>
          <w:spacing w:val="12"/>
        </w:rPr>
        <w:t>NC</w:t>
      </w:r>
      <w:r w:rsidR="005D71B9">
        <w:rPr>
          <w:color w:val="1F396D"/>
        </w:rPr>
        <w:t xml:space="preserve"> IE</w:t>
      </w:r>
      <w:r w:rsidR="005D71B9">
        <w:rPr>
          <w:color w:val="1F396D"/>
          <w:spacing w:val="-10"/>
        </w:rPr>
        <w:t>S</w:t>
      </w:r>
    </w:p>
    <w:p w:rsidR="00E66E45" w:rsidRDefault="00E66E45">
      <w:pPr>
        <w:pStyle w:val="BodyText"/>
        <w:rPr>
          <w:rFonts w:ascii="Arial"/>
          <w:b/>
          <w:sz w:val="20"/>
        </w:rPr>
      </w:pPr>
    </w:p>
    <w:p w:rsidR="00E66E45" w:rsidRDefault="00E66E45">
      <w:pPr>
        <w:pStyle w:val="BodyText"/>
        <w:spacing w:before="10" w:after="1"/>
        <w:rPr>
          <w:rFonts w:ascii="Arial"/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95"/>
        <w:gridCol w:w="6557"/>
      </w:tblGrid>
      <w:tr w:rsidR="00E66E45">
        <w:trPr>
          <w:trHeight w:val="201"/>
        </w:trPr>
        <w:tc>
          <w:tcPr>
            <w:tcW w:w="1395" w:type="dxa"/>
          </w:tcPr>
          <w:p w:rsidR="00E66E45" w:rsidRDefault="005D71B9">
            <w:pPr>
              <w:pStyle w:val="TableParagraph"/>
              <w:spacing w:before="0" w:line="18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96D"/>
                <w:spacing w:val="-2"/>
                <w:sz w:val="18"/>
              </w:rPr>
              <w:t>Cloud</w:t>
            </w:r>
          </w:p>
        </w:tc>
        <w:tc>
          <w:tcPr>
            <w:tcW w:w="6557" w:type="dxa"/>
          </w:tcPr>
          <w:p w:rsidR="00E66E45" w:rsidRDefault="005D71B9">
            <w:pPr>
              <w:pStyle w:val="TableParagraph"/>
              <w:spacing w:before="0" w:line="181" w:lineRule="exact"/>
              <w:ind w:left="834"/>
              <w:rPr>
                <w:sz w:val="18"/>
              </w:rPr>
            </w:pPr>
            <w:proofErr w:type="spellStart"/>
            <w:r>
              <w:rPr>
                <w:color w:val="1C1C1C"/>
                <w:sz w:val="18"/>
              </w:rPr>
              <w:t>AWS·Azure</w:t>
            </w:r>
            <w:proofErr w:type="spellEnd"/>
            <w:r>
              <w:rPr>
                <w:color w:val="1C1C1C"/>
                <w:sz w:val="18"/>
              </w:rPr>
              <w:t xml:space="preserve"> ·</w:t>
            </w:r>
            <w:proofErr w:type="spellStart"/>
            <w:r>
              <w:rPr>
                <w:color w:val="1C1C1C"/>
                <w:sz w:val="18"/>
              </w:rPr>
              <w:t>GCP·HybridCloud</w:t>
            </w:r>
            <w:proofErr w:type="spellEnd"/>
            <w:r>
              <w:rPr>
                <w:color w:val="1C1C1C"/>
                <w:sz w:val="18"/>
              </w:rPr>
              <w:t xml:space="preserve"> ·</w:t>
            </w:r>
            <w:proofErr w:type="spellStart"/>
            <w:r>
              <w:rPr>
                <w:color w:val="1C1C1C"/>
                <w:sz w:val="18"/>
              </w:rPr>
              <w:t>PrivateCloud</w:t>
            </w:r>
            <w:proofErr w:type="spellEnd"/>
            <w:r>
              <w:rPr>
                <w:color w:val="1C1C1C"/>
                <w:sz w:val="18"/>
              </w:rPr>
              <w:t xml:space="preserve"> ·Cloud </w:t>
            </w:r>
            <w:r>
              <w:rPr>
                <w:color w:val="1C1C1C"/>
                <w:spacing w:val="-2"/>
                <w:sz w:val="18"/>
              </w:rPr>
              <w:t>Architecture</w:t>
            </w:r>
          </w:p>
        </w:tc>
      </w:tr>
    </w:tbl>
    <w:p w:rsidR="00E66E45" w:rsidRDefault="00E66E45">
      <w:pPr>
        <w:pStyle w:val="TableParagraph"/>
        <w:spacing w:line="181" w:lineRule="exact"/>
        <w:rPr>
          <w:sz w:val="18"/>
        </w:rPr>
        <w:sectPr w:rsidR="00E66E45">
          <w:pgSz w:w="12240" w:h="15840"/>
          <w:pgMar w:top="820" w:right="1080" w:bottom="874" w:left="72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7595"/>
      </w:tblGrid>
      <w:tr w:rsidR="00E66E45">
        <w:trPr>
          <w:trHeight w:val="258"/>
        </w:trPr>
        <w:tc>
          <w:tcPr>
            <w:tcW w:w="1741" w:type="dxa"/>
          </w:tcPr>
          <w:p w:rsidR="00E66E45" w:rsidRDefault="005D71B9">
            <w:pPr>
              <w:pStyle w:val="TableParagraph"/>
              <w:spacing w:before="0" w:line="201" w:lineRule="exac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z w:val="18"/>
              </w:rPr>
              <w:lastRenderedPageBreak/>
              <w:t>DevOps</w:t>
            </w:r>
            <w:proofErr w:type="spellEnd"/>
            <w:r>
              <w:rPr>
                <w:rFonts w:ascii="Arial"/>
                <w:b/>
                <w:color w:val="1F396D"/>
                <w:sz w:val="18"/>
              </w:rPr>
              <w:t>/</w:t>
            </w:r>
            <w:r>
              <w:rPr>
                <w:rFonts w:ascii="Arial"/>
                <w:b/>
                <w:color w:val="1F396D"/>
                <w:spacing w:val="-5"/>
                <w:sz w:val="18"/>
              </w:rPr>
              <w:t>SRE</w:t>
            </w:r>
          </w:p>
        </w:tc>
        <w:tc>
          <w:tcPr>
            <w:tcW w:w="7595" w:type="dxa"/>
          </w:tcPr>
          <w:p w:rsidR="00E66E45" w:rsidRDefault="005D71B9">
            <w:pPr>
              <w:pStyle w:val="TableParagraph"/>
              <w:spacing w:before="0" w:line="201" w:lineRule="exact"/>
              <w:ind w:left="488"/>
              <w:rPr>
                <w:sz w:val="18"/>
              </w:rPr>
            </w:pPr>
            <w:r>
              <w:rPr>
                <w:color w:val="1C1C1C"/>
                <w:sz w:val="18"/>
              </w:rPr>
              <w:t>CI/</w:t>
            </w:r>
            <w:proofErr w:type="spellStart"/>
            <w:r>
              <w:rPr>
                <w:color w:val="1C1C1C"/>
                <w:sz w:val="18"/>
              </w:rPr>
              <w:t>CD·SRE·ChaosEngineering·SLIs·SLOs</w:t>
            </w:r>
            <w:proofErr w:type="spellEnd"/>
            <w:r>
              <w:rPr>
                <w:color w:val="1C1C1C"/>
                <w:sz w:val="18"/>
              </w:rPr>
              <w:t xml:space="preserve"> ·</w:t>
            </w:r>
            <w:proofErr w:type="spellStart"/>
            <w:r>
              <w:rPr>
                <w:color w:val="1C1C1C"/>
                <w:sz w:val="18"/>
              </w:rPr>
              <w:t>ErrorBudgets</w:t>
            </w:r>
            <w:proofErr w:type="spellEnd"/>
            <w:r>
              <w:rPr>
                <w:color w:val="1C1C1C"/>
                <w:sz w:val="18"/>
              </w:rPr>
              <w:t xml:space="preserve"> ·</w:t>
            </w:r>
            <w:proofErr w:type="spellStart"/>
            <w:r>
              <w:rPr>
                <w:color w:val="1C1C1C"/>
                <w:sz w:val="18"/>
              </w:rPr>
              <w:t>Incident</w:t>
            </w:r>
            <w:r>
              <w:rPr>
                <w:color w:val="1C1C1C"/>
                <w:spacing w:val="-2"/>
                <w:sz w:val="18"/>
              </w:rPr>
              <w:t>Management</w:t>
            </w:r>
            <w:proofErr w:type="spellEnd"/>
          </w:p>
        </w:tc>
      </w:tr>
      <w:tr w:rsidR="00E66E45">
        <w:trPr>
          <w:trHeight w:val="316"/>
        </w:trPr>
        <w:tc>
          <w:tcPr>
            <w:tcW w:w="1741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96D"/>
                <w:spacing w:val="-2"/>
                <w:sz w:val="18"/>
              </w:rPr>
              <w:t>Infrastructure</w:t>
            </w:r>
          </w:p>
        </w:tc>
        <w:tc>
          <w:tcPr>
            <w:tcW w:w="7595" w:type="dxa"/>
          </w:tcPr>
          <w:p w:rsidR="00E66E45" w:rsidRDefault="005D71B9">
            <w:pPr>
              <w:pStyle w:val="TableParagraph"/>
              <w:ind w:left="488"/>
              <w:rPr>
                <w:sz w:val="18"/>
              </w:rPr>
            </w:pPr>
            <w:proofErr w:type="spellStart"/>
            <w:r>
              <w:rPr>
                <w:color w:val="1C1C1C"/>
                <w:sz w:val="18"/>
              </w:rPr>
              <w:t>Kubernetes·Terraform</w:t>
            </w:r>
            <w:proofErr w:type="spellEnd"/>
            <w:r>
              <w:rPr>
                <w:color w:val="1C1C1C"/>
                <w:sz w:val="18"/>
              </w:rPr>
              <w:t>(</w:t>
            </w:r>
            <w:proofErr w:type="spellStart"/>
            <w:r>
              <w:rPr>
                <w:color w:val="1C1C1C"/>
                <w:sz w:val="18"/>
              </w:rPr>
              <w:t>IaC</w:t>
            </w:r>
            <w:proofErr w:type="spellEnd"/>
            <w:r>
              <w:rPr>
                <w:color w:val="1C1C1C"/>
                <w:sz w:val="18"/>
              </w:rPr>
              <w:t>)·</w:t>
            </w:r>
            <w:proofErr w:type="spellStart"/>
            <w:r>
              <w:rPr>
                <w:color w:val="1C1C1C"/>
                <w:sz w:val="18"/>
              </w:rPr>
              <w:t>Kafka·Monitoring·Logging</w:t>
            </w:r>
            <w:proofErr w:type="spellEnd"/>
            <w:r>
              <w:rPr>
                <w:color w:val="1C1C1C"/>
                <w:sz w:val="18"/>
              </w:rPr>
              <w:t xml:space="preserve"> ·</w:t>
            </w:r>
            <w:proofErr w:type="spellStart"/>
            <w:r>
              <w:rPr>
                <w:color w:val="1C1C1C"/>
                <w:sz w:val="18"/>
              </w:rPr>
              <w:t>ADO·GitHub</w:t>
            </w:r>
            <w:proofErr w:type="spellEnd"/>
            <w:r>
              <w:rPr>
                <w:color w:val="1C1C1C"/>
                <w:sz w:val="18"/>
              </w:rPr>
              <w:t xml:space="preserve"> ·</w:t>
            </w:r>
            <w:proofErr w:type="spellStart"/>
            <w:r>
              <w:rPr>
                <w:color w:val="1C1C1C"/>
                <w:spacing w:val="-4"/>
                <w:sz w:val="18"/>
              </w:rPr>
              <w:t>Jira</w:t>
            </w:r>
            <w:proofErr w:type="spellEnd"/>
          </w:p>
        </w:tc>
      </w:tr>
      <w:tr w:rsidR="00E66E45">
        <w:trPr>
          <w:trHeight w:val="316"/>
        </w:trPr>
        <w:tc>
          <w:tcPr>
            <w:tcW w:w="1741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pacing w:val="-2"/>
                <w:sz w:val="18"/>
              </w:rPr>
              <w:t>Observability</w:t>
            </w:r>
            <w:proofErr w:type="spellEnd"/>
          </w:p>
        </w:tc>
        <w:tc>
          <w:tcPr>
            <w:tcW w:w="7595" w:type="dxa"/>
          </w:tcPr>
          <w:p w:rsidR="00E66E45" w:rsidRDefault="005D71B9">
            <w:pPr>
              <w:pStyle w:val="TableParagraph"/>
              <w:ind w:left="488"/>
              <w:rPr>
                <w:sz w:val="18"/>
              </w:rPr>
            </w:pPr>
            <w:proofErr w:type="spellStart"/>
            <w:r>
              <w:rPr>
                <w:color w:val="1C1C1C"/>
                <w:sz w:val="18"/>
              </w:rPr>
              <w:t>DataDog·DataDogWatchdog·Prometheus</w:t>
            </w:r>
            <w:proofErr w:type="spellEnd"/>
            <w:r>
              <w:rPr>
                <w:color w:val="1C1C1C"/>
                <w:sz w:val="18"/>
              </w:rPr>
              <w:t>·</w:t>
            </w:r>
            <w:r>
              <w:rPr>
                <w:color w:val="1C1C1C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1C1C1C"/>
                <w:spacing w:val="-2"/>
                <w:sz w:val="18"/>
              </w:rPr>
              <w:t>Grafana</w:t>
            </w:r>
            <w:proofErr w:type="spellEnd"/>
          </w:p>
        </w:tc>
      </w:tr>
      <w:tr w:rsidR="00E66E45">
        <w:trPr>
          <w:trHeight w:val="316"/>
        </w:trPr>
        <w:tc>
          <w:tcPr>
            <w:tcW w:w="1741" w:type="dxa"/>
          </w:tcPr>
          <w:p w:rsidR="00E66E45" w:rsidRDefault="005D71B9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1F396D"/>
                <w:sz w:val="18"/>
              </w:rPr>
              <w:t>GenAI</w:t>
            </w:r>
            <w:proofErr w:type="spellEnd"/>
            <w:r>
              <w:rPr>
                <w:rFonts w:ascii="Arial"/>
                <w:b/>
                <w:color w:val="1F396D"/>
                <w:sz w:val="18"/>
              </w:rPr>
              <w:t>/</w:t>
            </w:r>
            <w:r>
              <w:rPr>
                <w:rFonts w:ascii="Arial"/>
                <w:b/>
                <w:color w:val="1F396D"/>
                <w:spacing w:val="-5"/>
                <w:sz w:val="18"/>
              </w:rPr>
              <w:t>LLM</w:t>
            </w:r>
          </w:p>
        </w:tc>
        <w:tc>
          <w:tcPr>
            <w:tcW w:w="7595" w:type="dxa"/>
          </w:tcPr>
          <w:p w:rsidR="00E66E45" w:rsidRDefault="005D71B9">
            <w:pPr>
              <w:pStyle w:val="TableParagraph"/>
              <w:ind w:left="488"/>
              <w:rPr>
                <w:sz w:val="18"/>
              </w:rPr>
            </w:pPr>
            <w:r>
              <w:rPr>
                <w:color w:val="1C1C1C"/>
                <w:sz w:val="18"/>
              </w:rPr>
              <w:t>RAGArchitecture·LLMChatbotDevelopment·EnterpriseGPT·DataDogAI</w:t>
            </w:r>
            <w:r>
              <w:rPr>
                <w:color w:val="1C1C1C"/>
                <w:spacing w:val="-5"/>
                <w:sz w:val="18"/>
              </w:rPr>
              <w:t>Ops</w:t>
            </w:r>
          </w:p>
        </w:tc>
      </w:tr>
      <w:tr w:rsidR="00E66E45">
        <w:trPr>
          <w:trHeight w:val="258"/>
        </w:trPr>
        <w:tc>
          <w:tcPr>
            <w:tcW w:w="1741" w:type="dxa"/>
          </w:tcPr>
          <w:p w:rsidR="00E66E45" w:rsidRDefault="005D71B9">
            <w:pPr>
              <w:pStyle w:val="TableParagraph"/>
              <w:spacing w:line="18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396D"/>
                <w:spacing w:val="-2"/>
                <w:sz w:val="18"/>
              </w:rPr>
              <w:t>Security</w:t>
            </w:r>
          </w:p>
        </w:tc>
        <w:tc>
          <w:tcPr>
            <w:tcW w:w="7595" w:type="dxa"/>
          </w:tcPr>
          <w:p w:rsidR="00E66E45" w:rsidRDefault="005D71B9">
            <w:pPr>
              <w:pStyle w:val="TableParagraph"/>
              <w:spacing w:line="187" w:lineRule="exact"/>
              <w:ind w:left="488"/>
              <w:rPr>
                <w:sz w:val="18"/>
              </w:rPr>
            </w:pPr>
            <w:r>
              <w:rPr>
                <w:color w:val="1C1C1C"/>
                <w:sz w:val="18"/>
              </w:rPr>
              <w:t>DevSecOps·ComplianceIntegration·IdentityManagement·Vulnerability</w:t>
            </w:r>
            <w:r>
              <w:rPr>
                <w:color w:val="1C1C1C"/>
                <w:spacing w:val="-2"/>
                <w:sz w:val="18"/>
              </w:rPr>
              <w:t xml:space="preserve"> Management</w:t>
            </w:r>
          </w:p>
        </w:tc>
      </w:tr>
    </w:tbl>
    <w:p w:rsidR="00E66E45" w:rsidRDefault="00E66E45">
      <w:pPr>
        <w:pStyle w:val="BodyText"/>
        <w:rPr>
          <w:rFonts w:ascii="Arial"/>
          <w:b/>
          <w:sz w:val="24"/>
        </w:rPr>
      </w:pPr>
    </w:p>
    <w:p w:rsidR="00E66E45" w:rsidRDefault="00E66E45">
      <w:pPr>
        <w:pStyle w:val="BodyText"/>
        <w:spacing w:before="80"/>
        <w:rPr>
          <w:rFonts w:ascii="Arial"/>
          <w:b/>
          <w:sz w:val="24"/>
        </w:rPr>
      </w:pPr>
    </w:p>
    <w:p w:rsidR="00E66E45" w:rsidRDefault="00772E52">
      <w:pPr>
        <w:pStyle w:val="Heading2"/>
        <w:tabs>
          <w:tab w:val="left" w:pos="2654"/>
          <w:tab w:val="left" w:pos="3052"/>
        </w:tabs>
      </w:pPr>
      <w:r>
        <w:pict>
          <v:rect id="docshape6" o:spid="_x0000_s1028" style="position:absolute;left:0;text-align:left;margin-left:52.55pt;margin-top:17.75pt;width:506.9pt;height:.95pt;z-index:15731200;mso-position-horizontal-relative:page" fillcolor="#2d4979" stroked="f">
            <w10:wrap anchorx="page"/>
          </v:rect>
        </w:pict>
      </w:r>
      <w:r w:rsidR="005D71B9">
        <w:rPr>
          <w:color w:val="1F396D"/>
        </w:rPr>
        <w:t>E</w:t>
      </w:r>
      <w:r w:rsidR="005D71B9">
        <w:rPr>
          <w:color w:val="1F396D"/>
          <w:spacing w:val="12"/>
        </w:rPr>
        <w:t>D</w:t>
      </w:r>
      <w:r w:rsidR="005D71B9">
        <w:rPr>
          <w:color w:val="1F396D"/>
        </w:rPr>
        <w:t xml:space="preserve"> U</w:t>
      </w:r>
      <w:r w:rsidR="005D71B9">
        <w:rPr>
          <w:color w:val="1F396D"/>
          <w:spacing w:val="12"/>
        </w:rPr>
        <w:t>CA</w:t>
      </w:r>
      <w:r w:rsidR="005D71B9">
        <w:rPr>
          <w:color w:val="1F396D"/>
        </w:rPr>
        <w:t xml:space="preserve"> TIO</w:t>
      </w:r>
      <w:r w:rsidR="005D71B9">
        <w:rPr>
          <w:color w:val="1F396D"/>
          <w:spacing w:val="-12"/>
        </w:rPr>
        <w:t>N</w:t>
      </w:r>
      <w:r w:rsidR="005D71B9">
        <w:rPr>
          <w:color w:val="1F396D"/>
        </w:rPr>
        <w:tab/>
      </w:r>
      <w:r w:rsidR="005D71B9">
        <w:rPr>
          <w:color w:val="1F396D"/>
          <w:spacing w:val="-10"/>
        </w:rPr>
        <w:t>&amp;</w:t>
      </w:r>
      <w:r w:rsidR="005D71B9">
        <w:rPr>
          <w:color w:val="1F396D"/>
        </w:rPr>
        <w:tab/>
      </w:r>
      <w:r w:rsidR="005D71B9">
        <w:rPr>
          <w:color w:val="1F396D"/>
          <w:spacing w:val="12"/>
        </w:rPr>
        <w:t>C</w:t>
      </w:r>
      <w:r w:rsidR="005D71B9">
        <w:rPr>
          <w:color w:val="1F396D"/>
        </w:rPr>
        <w:t>E</w:t>
      </w:r>
      <w:r w:rsidR="005D71B9">
        <w:rPr>
          <w:color w:val="1F396D"/>
          <w:spacing w:val="12"/>
        </w:rPr>
        <w:t>R</w:t>
      </w:r>
      <w:r w:rsidR="005D71B9">
        <w:rPr>
          <w:color w:val="1F396D"/>
        </w:rPr>
        <w:t xml:space="preserve"> TIFICATIO</w:t>
      </w:r>
      <w:r w:rsidR="005D71B9">
        <w:rPr>
          <w:color w:val="1F396D"/>
          <w:spacing w:val="12"/>
        </w:rPr>
        <w:t>N</w:t>
      </w:r>
      <w:r w:rsidR="005D71B9">
        <w:rPr>
          <w:color w:val="1F396D"/>
          <w:spacing w:val="-10"/>
        </w:rPr>
        <w:t xml:space="preserve">S </w:t>
      </w:r>
    </w:p>
    <w:p w:rsidR="00E66E45" w:rsidRDefault="00E66E45">
      <w:pPr>
        <w:pStyle w:val="BodyText"/>
        <w:spacing w:before="228"/>
        <w:rPr>
          <w:rFonts w:ascii="Arial"/>
          <w:b/>
          <w:sz w:val="20"/>
        </w:rPr>
      </w:pPr>
    </w:p>
    <w:p w:rsidR="00E66E45" w:rsidRDefault="005D71B9">
      <w:pPr>
        <w:tabs>
          <w:tab w:val="left" w:pos="9319"/>
        </w:tabs>
        <w:ind w:left="360"/>
        <w:rPr>
          <w:rFonts w:ascii="Arial" w:hAnsi="Arial"/>
          <w:i/>
          <w:sz w:val="18"/>
        </w:rPr>
      </w:pPr>
      <w:r>
        <w:rPr>
          <w:rFonts w:ascii="Arial" w:hAnsi="Arial"/>
          <w:b/>
          <w:color w:val="1A2744"/>
          <w:sz w:val="20"/>
        </w:rPr>
        <w:t>BS—</w:t>
      </w:r>
      <w:r>
        <w:rPr>
          <w:rFonts w:ascii="Arial" w:hAnsi="Arial"/>
          <w:b/>
          <w:color w:val="1A2744"/>
          <w:spacing w:val="-4"/>
          <w:sz w:val="20"/>
        </w:rPr>
        <w:t>JNTU</w:t>
      </w:r>
      <w:r>
        <w:rPr>
          <w:rFonts w:ascii="Arial" w:hAnsi="Arial"/>
          <w:b/>
          <w:color w:val="1A2744"/>
          <w:sz w:val="20"/>
        </w:rPr>
        <w:tab/>
      </w:r>
      <w:r>
        <w:rPr>
          <w:rFonts w:ascii="Arial" w:hAnsi="Arial"/>
          <w:i/>
          <w:color w:val="5A6A79"/>
          <w:spacing w:val="-4"/>
          <w:sz w:val="18"/>
        </w:rPr>
        <w:t>2012</w:t>
      </w:r>
    </w:p>
    <w:p w:rsidR="00E66E45" w:rsidRDefault="00E66E45">
      <w:pPr>
        <w:pStyle w:val="BodyText"/>
        <w:spacing w:before="82"/>
        <w:rPr>
          <w:rFonts w:ascii="Arial"/>
          <w:i/>
          <w:sz w:val="20"/>
        </w:rPr>
      </w:pP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839" w:hanging="280"/>
        <w:rPr>
          <w:sz w:val="19"/>
        </w:rPr>
      </w:pPr>
      <w:proofErr w:type="spellStart"/>
      <w:r>
        <w:rPr>
          <w:color w:val="1C1C1C"/>
          <w:sz w:val="19"/>
        </w:rPr>
        <w:t>AWSCertifiedSolutionsArchitect</w:t>
      </w:r>
      <w:proofErr w:type="spellEnd"/>
      <w:r>
        <w:rPr>
          <w:color w:val="1C1C1C"/>
          <w:sz w:val="19"/>
        </w:rPr>
        <w:t>/</w:t>
      </w:r>
      <w:proofErr w:type="spellStart"/>
      <w:r>
        <w:rPr>
          <w:color w:val="1C1C1C"/>
          <w:sz w:val="19"/>
        </w:rPr>
        <w:t>DevOps</w:t>
      </w:r>
      <w:r>
        <w:rPr>
          <w:color w:val="1C1C1C"/>
          <w:spacing w:val="-2"/>
          <w:sz w:val="19"/>
        </w:rPr>
        <w:t>Professional</w:t>
      </w:r>
      <w:proofErr w:type="spellEnd"/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38"/>
        <w:ind w:left="839" w:hanging="280"/>
        <w:rPr>
          <w:sz w:val="19"/>
        </w:rPr>
      </w:pPr>
      <w:proofErr w:type="spellStart"/>
      <w:r>
        <w:rPr>
          <w:color w:val="1C1C1C"/>
          <w:sz w:val="19"/>
        </w:rPr>
        <w:t>GoogleCloudProfessionalCloudArchitect</w:t>
      </w:r>
      <w:proofErr w:type="spellEnd"/>
      <w:r>
        <w:rPr>
          <w:color w:val="1C1C1C"/>
          <w:sz w:val="19"/>
        </w:rPr>
        <w:t>/</w:t>
      </w:r>
      <w:proofErr w:type="spellStart"/>
      <w:r>
        <w:rPr>
          <w:color w:val="1C1C1C"/>
          <w:sz w:val="19"/>
        </w:rPr>
        <w:t>DevOps</w:t>
      </w:r>
      <w:r>
        <w:rPr>
          <w:color w:val="1C1C1C"/>
          <w:spacing w:val="-2"/>
          <w:sz w:val="19"/>
        </w:rPr>
        <w:t>Engineer</w:t>
      </w:r>
      <w:proofErr w:type="spellEnd"/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ind w:left="839" w:hanging="280"/>
        <w:rPr>
          <w:sz w:val="19"/>
        </w:rPr>
      </w:pPr>
      <w:proofErr w:type="spellStart"/>
      <w:r>
        <w:rPr>
          <w:color w:val="1C1C1C"/>
          <w:sz w:val="19"/>
        </w:rPr>
        <w:t>CertifiedKubernetesAdministrator</w:t>
      </w:r>
      <w:proofErr w:type="spellEnd"/>
      <w:r>
        <w:rPr>
          <w:color w:val="1C1C1C"/>
          <w:spacing w:val="-2"/>
          <w:sz w:val="19"/>
        </w:rPr>
        <w:t>(CKA)</w:t>
      </w:r>
    </w:p>
    <w:p w:rsidR="00E66E45" w:rsidRDefault="00E66E45">
      <w:pPr>
        <w:pStyle w:val="BodyText"/>
      </w:pPr>
    </w:p>
    <w:p w:rsidR="00E66E45" w:rsidRDefault="00E66E45">
      <w:pPr>
        <w:pStyle w:val="BodyText"/>
        <w:spacing w:before="114"/>
      </w:pPr>
    </w:p>
    <w:p w:rsidR="00E66E45" w:rsidRDefault="00772E52">
      <w:pPr>
        <w:pStyle w:val="Heading2"/>
        <w:tabs>
          <w:tab w:val="left" w:pos="2853"/>
          <w:tab w:val="left" w:pos="3252"/>
          <w:tab w:val="left" w:pos="4800"/>
        </w:tabs>
      </w:pPr>
      <w:r>
        <w:pict>
          <v:rect id="docshape7" o:spid="_x0000_s1027" style="position:absolute;left:0;text-align:left;margin-left:52.55pt;margin-top:17.75pt;width:506.9pt;height:.95pt;z-index:15731712;mso-position-horizontal-relative:page" fillcolor="#2d4979" stroked="f">
            <w10:wrap anchorx="page"/>
          </v:rect>
        </w:pict>
      </w:r>
      <w:r w:rsidR="005D71B9">
        <w:rPr>
          <w:color w:val="1F396D"/>
        </w:rPr>
        <w:t>LEA</w:t>
      </w:r>
      <w:r w:rsidR="005D71B9">
        <w:rPr>
          <w:color w:val="1F396D"/>
          <w:spacing w:val="12"/>
        </w:rPr>
        <w:t>D</w:t>
      </w:r>
      <w:r w:rsidR="005D71B9">
        <w:rPr>
          <w:color w:val="1F396D"/>
        </w:rPr>
        <w:t xml:space="preserve"> E</w:t>
      </w:r>
      <w:r w:rsidR="005D71B9">
        <w:rPr>
          <w:color w:val="1F396D"/>
          <w:spacing w:val="12"/>
        </w:rPr>
        <w:t>R</w:t>
      </w:r>
      <w:r w:rsidR="005D71B9">
        <w:rPr>
          <w:color w:val="1F396D"/>
        </w:rPr>
        <w:t xml:space="preserve"> S</w:t>
      </w:r>
      <w:r w:rsidR="005D71B9">
        <w:rPr>
          <w:color w:val="1F396D"/>
          <w:spacing w:val="12"/>
        </w:rPr>
        <w:t>H</w:t>
      </w:r>
      <w:r w:rsidR="005D71B9">
        <w:rPr>
          <w:color w:val="1F396D"/>
        </w:rPr>
        <w:t xml:space="preserve"> I</w:t>
      </w:r>
      <w:r w:rsidR="005D71B9">
        <w:rPr>
          <w:color w:val="1F396D"/>
          <w:spacing w:val="-10"/>
        </w:rPr>
        <w:t>P</w:t>
      </w:r>
      <w:r w:rsidR="005D71B9">
        <w:rPr>
          <w:color w:val="1F396D"/>
        </w:rPr>
        <w:tab/>
      </w:r>
      <w:r w:rsidR="005D71B9">
        <w:rPr>
          <w:color w:val="1F396D"/>
          <w:spacing w:val="-10"/>
        </w:rPr>
        <w:t>&amp;</w:t>
      </w:r>
      <w:r w:rsidR="005D71B9">
        <w:rPr>
          <w:color w:val="1F396D"/>
        </w:rPr>
        <w:tab/>
        <w:t>IMPA</w:t>
      </w:r>
      <w:r w:rsidR="005D71B9">
        <w:rPr>
          <w:color w:val="1F396D"/>
          <w:spacing w:val="12"/>
        </w:rPr>
        <w:t>C</w:t>
      </w:r>
      <w:r w:rsidR="005D71B9">
        <w:rPr>
          <w:color w:val="1F396D"/>
          <w:spacing w:val="-10"/>
        </w:rPr>
        <w:t>T</w:t>
      </w:r>
      <w:r w:rsidR="005D71B9">
        <w:rPr>
          <w:color w:val="1F396D"/>
        </w:rPr>
        <w:tab/>
        <w:t>HIG</w:t>
      </w:r>
      <w:r w:rsidR="005D71B9">
        <w:rPr>
          <w:color w:val="1F396D"/>
          <w:spacing w:val="12"/>
        </w:rPr>
        <w:t>H</w:t>
      </w:r>
      <w:r w:rsidR="005D71B9">
        <w:rPr>
          <w:color w:val="1F396D"/>
        </w:rPr>
        <w:t xml:space="preserve"> LIG</w:t>
      </w:r>
      <w:r w:rsidR="005D71B9">
        <w:rPr>
          <w:color w:val="1F396D"/>
          <w:spacing w:val="12"/>
        </w:rPr>
        <w:t>H</w:t>
      </w:r>
      <w:r w:rsidR="005D71B9">
        <w:rPr>
          <w:color w:val="1F396D"/>
        </w:rPr>
        <w:t xml:space="preserve"> T</w:t>
      </w:r>
      <w:r w:rsidR="005D71B9">
        <w:rPr>
          <w:color w:val="1F396D"/>
          <w:spacing w:val="-10"/>
        </w:rPr>
        <w:t>S</w:t>
      </w:r>
    </w:p>
    <w:p w:rsidR="00E66E45" w:rsidRDefault="00E66E45">
      <w:pPr>
        <w:pStyle w:val="BodyText"/>
        <w:rPr>
          <w:rFonts w:ascii="Arial"/>
          <w:b/>
        </w:rPr>
      </w:pPr>
    </w:p>
    <w:p w:rsidR="00E66E45" w:rsidRDefault="00E66E45">
      <w:pPr>
        <w:pStyle w:val="BodyText"/>
        <w:spacing w:before="13"/>
        <w:rPr>
          <w:rFonts w:ascii="Arial"/>
          <w:b/>
        </w:rPr>
      </w:pP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839" w:hanging="280"/>
        <w:rPr>
          <w:sz w:val="19"/>
        </w:rPr>
      </w:pPr>
      <w:r>
        <w:rPr>
          <w:color w:val="1C1C1C"/>
          <w:sz w:val="19"/>
        </w:rPr>
        <w:t>$3M–$4Mbudgetownershipwithfullinvestmentprioritization,costgovernance,andportfolio</w:t>
      </w:r>
      <w:r>
        <w:rPr>
          <w:color w:val="1C1C1C"/>
          <w:spacing w:val="-2"/>
          <w:sz w:val="19"/>
        </w:rPr>
        <w:t>accountability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38"/>
        <w:ind w:right="565"/>
        <w:rPr>
          <w:sz w:val="19"/>
        </w:rPr>
      </w:pPr>
      <w:r>
        <w:rPr>
          <w:color w:val="1C1C1C"/>
          <w:sz w:val="19"/>
        </w:rPr>
        <w:t>Led11-engineerorganizationacross4platforms—buildingaccountabilityculture,executiondiscipline,and engineering excellence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109"/>
        <w:rPr>
          <w:sz w:val="19"/>
        </w:rPr>
      </w:pPr>
      <w:r>
        <w:rPr>
          <w:color w:val="1C1C1C"/>
          <w:sz w:val="19"/>
        </w:rPr>
        <w:t>13+yearsspanningJPMC,WellsFargo,andPwC—deliveringacrossregulatedfinancialservicesenvironments at enterprise scale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39"/>
        </w:tabs>
        <w:spacing w:before="38"/>
        <w:ind w:left="839" w:right="170"/>
        <w:rPr>
          <w:sz w:val="19"/>
        </w:rPr>
      </w:pPr>
      <w:r>
        <w:rPr>
          <w:color w:val="1C1C1C"/>
          <w:sz w:val="19"/>
        </w:rPr>
        <w:t xml:space="preserve">PioneeredGenAIandLLMadoptionwithinSREoperations—drivingAI-enabledmonitoring,anomalydetection, and </w:t>
      </w:r>
      <w:proofErr w:type="spellStart"/>
      <w:r>
        <w:rPr>
          <w:color w:val="1C1C1C"/>
          <w:sz w:val="19"/>
        </w:rPr>
        <w:t>runbook</w:t>
      </w:r>
      <w:proofErr w:type="spellEnd"/>
      <w:r>
        <w:rPr>
          <w:color w:val="1C1C1C"/>
          <w:sz w:val="19"/>
        </w:rPr>
        <w:t xml:space="preserve"> intelligence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ind w:right="121"/>
        <w:rPr>
          <w:sz w:val="19"/>
        </w:rPr>
      </w:pPr>
      <w:r>
        <w:rPr>
          <w:color w:val="1C1C1C"/>
          <w:sz w:val="19"/>
        </w:rPr>
        <w:t>Ledplatformresilienceengineeringthroughchaostesting,SLI/SLOgovernance,andobservabilityframeworksat multi-application scale</w:t>
      </w:r>
    </w:p>
    <w:p w:rsidR="00E66E45" w:rsidRDefault="005D71B9">
      <w:pPr>
        <w:pStyle w:val="ListParagraph"/>
        <w:numPr>
          <w:ilvl w:val="0"/>
          <w:numId w:val="1"/>
        </w:numPr>
        <w:tabs>
          <w:tab w:val="left" w:pos="840"/>
        </w:tabs>
        <w:spacing w:before="40"/>
        <w:ind w:right="354"/>
        <w:rPr>
          <w:sz w:val="19"/>
        </w:rPr>
      </w:pPr>
      <w:r>
        <w:rPr>
          <w:color w:val="1C1C1C"/>
          <w:sz w:val="19"/>
        </w:rPr>
        <w:t>Consistentrecordofaligningtechnologyexecutionwithbusinessoutcomesacrossengineering,infrastructure, cloud, and operations</w:t>
      </w:r>
    </w:p>
    <w:p w:rsidR="00E66E45" w:rsidRDefault="00E66E45">
      <w:pPr>
        <w:pStyle w:val="BodyText"/>
        <w:rPr>
          <w:sz w:val="16"/>
        </w:rPr>
      </w:pPr>
    </w:p>
    <w:p w:rsidR="00E66E45" w:rsidRDefault="00E66E45">
      <w:pPr>
        <w:pStyle w:val="BodyText"/>
        <w:rPr>
          <w:sz w:val="16"/>
        </w:rPr>
      </w:pPr>
    </w:p>
    <w:p w:rsidR="00E66E45" w:rsidRDefault="00E66E45">
      <w:pPr>
        <w:pStyle w:val="BodyText"/>
        <w:spacing w:before="79"/>
        <w:rPr>
          <w:sz w:val="16"/>
        </w:rPr>
      </w:pPr>
    </w:p>
    <w:p w:rsidR="00E66E45" w:rsidRDefault="00772E52">
      <w:pPr>
        <w:ind w:left="22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pict>
          <v:rect id="docshape8" o:spid="_x0000_s1026" style="position:absolute;left:0;text-align:left;margin-left:52.55pt;margin-top:-3.55pt;width:506.9pt;height:.5pt;z-index:15732224;mso-position-horizontal-relative:page" fillcolor="#ccc" stroked="f">
            <w10:wrap anchorx="page"/>
          </v:rect>
        </w:pict>
      </w:r>
      <w:r w:rsidR="005D71B9">
        <w:rPr>
          <w:rFonts w:ascii="Arial" w:hAnsi="Arial"/>
          <w:i/>
          <w:color w:val="5A6A79"/>
          <w:sz w:val="16"/>
        </w:rPr>
        <w:t>Referencesandadditionaldetailsavailableuponrequest·</w:t>
      </w:r>
      <w:r w:rsidR="005D71B9">
        <w:rPr>
          <w:rFonts w:ascii="Arial" w:hAnsi="Arial"/>
          <w:i/>
          <w:color w:val="5A6A79"/>
          <w:spacing w:val="-2"/>
          <w:sz w:val="16"/>
        </w:rPr>
        <w:t>linkedin.com/in/zuberm3134</w:t>
      </w:r>
    </w:p>
    <w:sectPr w:rsidR="00E66E45" w:rsidSect="00E66E45">
      <w:type w:val="continuous"/>
      <w:pgSz w:w="12240" w:h="15840"/>
      <w:pgMar w:top="940" w:right="10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2A05"/>
    <w:multiLevelType w:val="hybridMultilevel"/>
    <w:tmpl w:val="59FEDADE"/>
    <w:lvl w:ilvl="0" w:tplc="F9165594">
      <w:numFmt w:val="bullet"/>
      <w:lvlText w:val="◗"/>
      <w:lvlJc w:val="left"/>
      <w:pPr>
        <w:ind w:left="840" w:hanging="281"/>
      </w:pPr>
      <w:rPr>
        <w:rFonts w:ascii="Cambria Math" w:eastAsia="Cambria Math" w:hAnsi="Cambria Math" w:cs="Cambria Math" w:hint="default"/>
        <w:b w:val="0"/>
        <w:bCs w:val="0"/>
        <w:i w:val="0"/>
        <w:iCs w:val="0"/>
        <w:color w:val="395A9A"/>
        <w:spacing w:val="0"/>
        <w:w w:val="100"/>
        <w:sz w:val="16"/>
        <w:szCs w:val="16"/>
        <w:lang w:val="en-US" w:eastAsia="en-US" w:bidi="ar-SA"/>
      </w:rPr>
    </w:lvl>
    <w:lvl w:ilvl="1" w:tplc="8AE27776">
      <w:numFmt w:val="bullet"/>
      <w:lvlText w:val="•"/>
      <w:lvlJc w:val="left"/>
      <w:pPr>
        <w:ind w:left="1800" w:hanging="281"/>
      </w:pPr>
      <w:rPr>
        <w:rFonts w:hint="default"/>
        <w:lang w:val="en-US" w:eastAsia="en-US" w:bidi="ar-SA"/>
      </w:rPr>
    </w:lvl>
    <w:lvl w:ilvl="2" w:tplc="81C2893C">
      <w:numFmt w:val="bullet"/>
      <w:lvlText w:val="•"/>
      <w:lvlJc w:val="left"/>
      <w:pPr>
        <w:ind w:left="2760" w:hanging="281"/>
      </w:pPr>
      <w:rPr>
        <w:rFonts w:hint="default"/>
        <w:lang w:val="en-US" w:eastAsia="en-US" w:bidi="ar-SA"/>
      </w:rPr>
    </w:lvl>
    <w:lvl w:ilvl="3" w:tplc="5F849E72">
      <w:numFmt w:val="bullet"/>
      <w:lvlText w:val="•"/>
      <w:lvlJc w:val="left"/>
      <w:pPr>
        <w:ind w:left="3720" w:hanging="281"/>
      </w:pPr>
      <w:rPr>
        <w:rFonts w:hint="default"/>
        <w:lang w:val="en-US" w:eastAsia="en-US" w:bidi="ar-SA"/>
      </w:rPr>
    </w:lvl>
    <w:lvl w:ilvl="4" w:tplc="FE78DC5E">
      <w:numFmt w:val="bullet"/>
      <w:lvlText w:val="•"/>
      <w:lvlJc w:val="left"/>
      <w:pPr>
        <w:ind w:left="4680" w:hanging="281"/>
      </w:pPr>
      <w:rPr>
        <w:rFonts w:hint="default"/>
        <w:lang w:val="en-US" w:eastAsia="en-US" w:bidi="ar-SA"/>
      </w:rPr>
    </w:lvl>
    <w:lvl w:ilvl="5" w:tplc="885CB502">
      <w:numFmt w:val="bullet"/>
      <w:lvlText w:val="•"/>
      <w:lvlJc w:val="left"/>
      <w:pPr>
        <w:ind w:left="5640" w:hanging="281"/>
      </w:pPr>
      <w:rPr>
        <w:rFonts w:hint="default"/>
        <w:lang w:val="en-US" w:eastAsia="en-US" w:bidi="ar-SA"/>
      </w:rPr>
    </w:lvl>
    <w:lvl w:ilvl="6" w:tplc="919EFF12">
      <w:numFmt w:val="bullet"/>
      <w:lvlText w:val="•"/>
      <w:lvlJc w:val="left"/>
      <w:pPr>
        <w:ind w:left="6600" w:hanging="281"/>
      </w:pPr>
      <w:rPr>
        <w:rFonts w:hint="default"/>
        <w:lang w:val="en-US" w:eastAsia="en-US" w:bidi="ar-SA"/>
      </w:rPr>
    </w:lvl>
    <w:lvl w:ilvl="7" w:tplc="D9820108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D7D227C0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6E45"/>
    <w:rsid w:val="004E644C"/>
    <w:rsid w:val="005D71B9"/>
    <w:rsid w:val="00772E52"/>
    <w:rsid w:val="00E417BC"/>
    <w:rsid w:val="00E6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E45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E66E45"/>
    <w:pPr>
      <w:spacing w:before="60"/>
      <w:ind w:left="362" w:right="7"/>
      <w:jc w:val="center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rsid w:val="00E66E45"/>
    <w:pPr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6E45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E66E45"/>
    <w:pPr>
      <w:spacing w:before="41"/>
      <w:ind w:left="840" w:hanging="281"/>
    </w:pPr>
  </w:style>
  <w:style w:type="paragraph" w:customStyle="1" w:styleId="TableParagraph">
    <w:name w:val="Table Paragraph"/>
    <w:basedOn w:val="Normal"/>
    <w:uiPriority w:val="1"/>
    <w:qFormat/>
    <w:rsid w:val="00E66E45"/>
    <w:pPr>
      <w:spacing w:before="52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8</cp:revision>
  <dcterms:created xsi:type="dcterms:W3CDTF">2026-04-21T17:36:00Z</dcterms:created>
  <dcterms:modified xsi:type="dcterms:W3CDTF">2026-06-04T15:07:00Z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2026-04-21T00:00:00Z</vt:filetime>
  </property>
  <property fmtid="{D5CDD505-2E9C-101B-9397-08002B2CF9AE}" pid="6" name="Producer">
    <vt:lpwstr>Adobe PDF Library 26.1.119</vt:lpwstr>
  </property>
  <property fmtid="{D5CDD505-2E9C-101B-9397-08002B2CF9AE}" pid="7" name="SourceModified">
    <vt:lpwstr>D:20260318072516</vt:lpwstr>
  </property>
</Properties>
</file>